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C56743" w14:textId="77777777" w:rsidR="004B4B10" w:rsidRPr="004B4B10" w:rsidRDefault="004B4B10" w:rsidP="004B4B10">
      <w:pPr>
        <w:keepNext/>
        <w:tabs>
          <w:tab w:val="left" w:pos="8505"/>
        </w:tabs>
        <w:spacing w:after="0"/>
        <w:ind w:right="-754"/>
        <w:outlineLvl w:val="7"/>
        <w:rPr>
          <w:rFonts w:cs="Times New Roman"/>
          <w:b/>
          <w:bCs/>
          <w:lang w:val="fr"/>
        </w:rPr>
      </w:pPr>
      <w:bookmarkStart w:id="0" w:name="OLE_LINK1"/>
      <w:bookmarkStart w:id="1" w:name="OLE_LINK2"/>
      <w:r w:rsidRPr="004B4B10">
        <w:rPr>
          <w:rFonts w:cs="Times New Roman"/>
          <w:b/>
          <w:bCs/>
          <w:lang w:val="fr"/>
        </w:rPr>
        <w:t xml:space="preserve">TREIZIÈME RÉUNION DES MINISTRES </w:t>
      </w:r>
    </w:p>
    <w:p w14:paraId="651750C0" w14:textId="73A865B7" w:rsidR="004B4B10" w:rsidRPr="004B4B10" w:rsidRDefault="004B4B10" w:rsidP="004B4B10">
      <w:pPr>
        <w:tabs>
          <w:tab w:val="left" w:pos="8505"/>
        </w:tabs>
        <w:spacing w:after="0"/>
        <w:ind w:right="-754"/>
        <w:rPr>
          <w:rFonts w:eastAsia="Malgun Gothic" w:cs="Times New Roman"/>
          <w:b/>
          <w:lang w:val="fr-FR"/>
        </w:rPr>
      </w:pPr>
      <w:r w:rsidRPr="004B4B10">
        <w:rPr>
          <w:rFonts w:cs="Times New Roman"/>
          <w:b/>
          <w:bCs/>
          <w:lang w:val="fr"/>
        </w:rPr>
        <w:t>DE LA SANTÉ DES PAYS OCÉANIENS                                           PIC13/</w:t>
      </w:r>
      <w:r w:rsidR="006B408D">
        <w:rPr>
          <w:rFonts w:cs="Times New Roman"/>
          <w:b/>
          <w:bCs/>
          <w:lang w:val="fr"/>
        </w:rPr>
        <w:t>S7/4</w:t>
      </w:r>
    </w:p>
    <w:p w14:paraId="6FAF5DB1" w14:textId="77777777" w:rsidR="004B4B10" w:rsidRPr="004B4B10" w:rsidRDefault="004B4B10" w:rsidP="004B4B10">
      <w:pPr>
        <w:keepNext/>
        <w:tabs>
          <w:tab w:val="left" w:pos="8505"/>
        </w:tabs>
        <w:spacing w:after="0"/>
        <w:ind w:right="-754"/>
        <w:outlineLvl w:val="7"/>
        <w:rPr>
          <w:rFonts w:eastAsia="Malgun Gothic" w:cs="Times New Roman"/>
          <w:b/>
          <w:bCs/>
          <w:lang w:val="fr-FR"/>
        </w:rPr>
      </w:pPr>
      <w:r w:rsidRPr="004B4B10">
        <w:rPr>
          <w:rFonts w:eastAsia="Malgun Gothic" w:cs="Times New Roman"/>
          <w:b/>
          <w:bCs/>
          <w:lang w:val="fr"/>
        </w:rPr>
        <w:t>Papeete (Polynésie française)                                                                 11 juin 2019</w:t>
      </w:r>
    </w:p>
    <w:p w14:paraId="0EDD319E" w14:textId="4469EE93" w:rsidR="00560443" w:rsidRPr="006B408D" w:rsidRDefault="004B4B10" w:rsidP="004B4B10">
      <w:pPr>
        <w:tabs>
          <w:tab w:val="left" w:pos="6300"/>
        </w:tabs>
        <w:spacing w:after="0"/>
        <w:rPr>
          <w:rFonts w:eastAsia="Malgun Gothic" w:cs="Times New Roman"/>
          <w:b/>
          <w:lang w:val="fr-FR"/>
        </w:rPr>
      </w:pPr>
      <w:r w:rsidRPr="004B4B10">
        <w:rPr>
          <w:rFonts w:eastAsia="Malgun Gothic" w:cs="Times New Roman"/>
          <w:b/>
          <w:bCs/>
          <w:lang w:val="fr"/>
        </w:rPr>
        <w:t>6–8 août 2019</w:t>
      </w:r>
      <w:r w:rsidR="006B408D">
        <w:rPr>
          <w:rFonts w:eastAsia="Malgun Gothic" w:cs="Times New Roman"/>
          <w:lang w:val="fr"/>
        </w:rPr>
        <w:tab/>
      </w:r>
      <w:r w:rsidRPr="004B4B10">
        <w:rPr>
          <w:rFonts w:eastAsia="Malgun Gothic" w:cs="Times New Roman"/>
          <w:b/>
          <w:bCs/>
          <w:lang w:val="fr"/>
        </w:rPr>
        <w:t>ORIGINAL : ANGLAIS</w:t>
      </w:r>
      <w:r w:rsidR="00091380" w:rsidRPr="004B4B10">
        <w:rPr>
          <w:rFonts w:cs="Times New Roman"/>
          <w:b/>
          <w:bCs/>
          <w:noProof/>
          <w:sz w:val="20"/>
          <w:szCs w:val="20"/>
          <w:lang w:val="fr-FR"/>
        </w:rPr>
        <w:t xml:space="preserve"> </w:t>
      </w:r>
    </w:p>
    <w:p w14:paraId="4E489747" w14:textId="01C06780" w:rsidR="008E0E4B" w:rsidRPr="004B4B10" w:rsidRDefault="00672AB8" w:rsidP="00421564">
      <w:pPr>
        <w:pStyle w:val="Heading1"/>
        <w:rPr>
          <w:lang w:val="fr-FR"/>
        </w:rPr>
      </w:pPr>
      <w:bookmarkStart w:id="2" w:name="_GoBack"/>
      <w:bookmarkEnd w:id="2"/>
      <w:r w:rsidRPr="00BF25DD">
        <w:rPr>
          <w:lang w:val="fr"/>
        </w:rPr>
        <w:t>Renforcement des SYSTÈMES DE RÉGLEMENTATION des MÉDICAMENTS dans le Pacifique</w:t>
      </w:r>
      <w:r w:rsidR="00825478" w:rsidRPr="00BF25DD">
        <w:rPr>
          <w:lang w:val="fr"/>
        </w:rPr>
        <w:t> </w:t>
      </w:r>
      <w:r w:rsidRPr="00BF25DD">
        <w:rPr>
          <w:lang w:val="fr"/>
        </w:rPr>
        <w:t>: une approche sous-régionale</w:t>
      </w:r>
    </w:p>
    <w:p w14:paraId="29C8AD17" w14:textId="48AECC5C" w:rsidR="00E6153D" w:rsidRPr="00BF25DD" w:rsidRDefault="00E6153D" w:rsidP="00BB1968">
      <w:pPr>
        <w:pStyle w:val="boxedsummary"/>
        <w:ind w:firstLine="738"/>
        <w:rPr>
          <w:rFonts w:eastAsia="Malgun Gothic"/>
          <w:szCs w:val="22"/>
          <w:lang w:val="fr-FR"/>
        </w:rPr>
      </w:pPr>
      <w:r w:rsidRPr="00BF25DD">
        <w:rPr>
          <w:szCs w:val="22"/>
          <w:lang w:val="fr"/>
        </w:rPr>
        <w:t xml:space="preserve">Des systèmes nationaux, solides et efficaces, de réglementation des médicaments et des produits médicaux sont nécessaires pour garantir la qualité, la sécurité et l’accessibilité économique des services de santé, protéger l’intérêt général et contribuer à l’avènement du </w:t>
      </w:r>
      <w:r w:rsidRPr="00BF25DD">
        <w:rPr>
          <w:lang w:val="fr"/>
        </w:rPr>
        <w:t xml:space="preserve">concept d’îles-santé et à la couverture sanitaire universelle (CSU). </w:t>
      </w:r>
      <w:r w:rsidRPr="00BF25DD">
        <w:rPr>
          <w:szCs w:val="22"/>
          <w:lang w:val="fr"/>
        </w:rPr>
        <w:t xml:space="preserve">Les </w:t>
      </w:r>
      <w:r w:rsidR="00BF25DD">
        <w:rPr>
          <w:szCs w:val="22"/>
          <w:lang w:val="fr"/>
        </w:rPr>
        <w:t>États et Territoires insulaires du Pacifique</w:t>
      </w:r>
      <w:r w:rsidRPr="00BF25DD">
        <w:rPr>
          <w:szCs w:val="22"/>
          <w:lang w:val="fr"/>
        </w:rPr>
        <w:t xml:space="preserve"> sont encouragés à mettre en place des systèmes de réglementation qui peuvent garantir à tous l’accès à des médicaments et produits médicaux de qualité. </w:t>
      </w:r>
    </w:p>
    <w:p w14:paraId="12A5141D" w14:textId="5F6B989B" w:rsidR="00D825A5" w:rsidRPr="00BF25DD" w:rsidRDefault="00143C63" w:rsidP="00D825A5">
      <w:pPr>
        <w:pStyle w:val="boxedsummary"/>
        <w:rPr>
          <w:rFonts w:eastAsia="Malgun Gothic"/>
          <w:szCs w:val="22"/>
          <w:lang w:val="fr-FR"/>
        </w:rPr>
      </w:pPr>
      <w:r w:rsidRPr="00BF25DD">
        <w:rPr>
          <w:rFonts w:eastAsia="Malgun Gothic"/>
          <w:szCs w:val="22"/>
          <w:lang w:val="fr"/>
        </w:rPr>
        <w:t xml:space="preserve">L’Organisation mondiale de la Santé (OMS) et d’autres partenaires de développement </w:t>
      </w:r>
      <w:proofErr w:type="gramStart"/>
      <w:r w:rsidRPr="00BF25DD">
        <w:rPr>
          <w:rFonts w:eastAsia="Malgun Gothic"/>
          <w:szCs w:val="22"/>
          <w:lang w:val="fr"/>
        </w:rPr>
        <w:t>ont</w:t>
      </w:r>
      <w:proofErr w:type="gramEnd"/>
      <w:r w:rsidRPr="00BF25DD">
        <w:rPr>
          <w:rFonts w:eastAsia="Malgun Gothic"/>
          <w:szCs w:val="22"/>
          <w:lang w:val="fr"/>
        </w:rPr>
        <w:t xml:space="preserve"> aidé les pays insulaires du Pacifique à améliorer leurs systèmes de réglementation au fil des ans, mais il reste encore beaucoup à faire. Le </w:t>
      </w:r>
      <w:hyperlink r:id="rId9" w:history="1">
        <w:r w:rsidRPr="00BF25DD">
          <w:rPr>
            <w:rStyle w:val="Hyperlink"/>
            <w:lang w:val="fr"/>
          </w:rPr>
          <w:t>Cadre d’action régional du Pacifique occidental pour le renforcement, la convergence et la coopération en matière de réglementation pour les médicaments et de personnel de santé</w:t>
        </w:r>
      </w:hyperlink>
      <w:r w:rsidRPr="00BF25DD">
        <w:rPr>
          <w:rFonts w:eastAsia="Malgun Gothic"/>
          <w:szCs w:val="22"/>
          <w:lang w:val="fr"/>
        </w:rPr>
        <w:t xml:space="preserve">, approuvé par le Comité régional de l’OMS </w:t>
      </w:r>
      <w:r w:rsidR="00140B35">
        <w:rPr>
          <w:rFonts w:eastAsia="Malgun Gothic"/>
          <w:szCs w:val="22"/>
          <w:lang w:val="fr"/>
        </w:rPr>
        <w:t>pour le Pacifique occidental en </w:t>
      </w:r>
      <w:r w:rsidRPr="00BF25DD">
        <w:rPr>
          <w:rFonts w:eastAsia="Malgun Gothic"/>
          <w:szCs w:val="22"/>
          <w:lang w:val="fr"/>
        </w:rPr>
        <w:t>2017 (</w:t>
      </w:r>
      <w:hyperlink r:id="rId10" w:history="1">
        <w:r w:rsidRPr="00BF25DD">
          <w:rPr>
            <w:rStyle w:val="Hyperlink"/>
            <w:rFonts w:eastAsia="Malgun Gothic"/>
            <w:szCs w:val="22"/>
            <w:u w:val="none"/>
            <w:lang w:val="fr"/>
          </w:rPr>
          <w:t>WPR/RC68.R7</w:t>
        </w:r>
      </w:hyperlink>
      <w:r w:rsidRPr="00BF25DD">
        <w:rPr>
          <w:rFonts w:eastAsia="Malgun Gothic"/>
          <w:szCs w:val="22"/>
          <w:lang w:val="fr"/>
        </w:rPr>
        <w:t xml:space="preserve">), invite instamment les </w:t>
      </w:r>
      <w:r w:rsidR="00BF25DD">
        <w:rPr>
          <w:rFonts w:eastAsia="Malgun Gothic"/>
          <w:szCs w:val="22"/>
          <w:lang w:val="fr"/>
        </w:rPr>
        <w:t>États Membres</w:t>
      </w:r>
      <w:r w:rsidRPr="00BF25DD">
        <w:rPr>
          <w:rFonts w:eastAsia="Malgun Gothic"/>
          <w:szCs w:val="22"/>
          <w:lang w:val="fr"/>
        </w:rPr>
        <w:t xml:space="preserve"> à participer aux initiatives de convergence et de coopération régionales pour renforcer collectivement les capacités de réglementation de la</w:t>
      </w:r>
      <w:r w:rsidR="00620CEB">
        <w:rPr>
          <w:rFonts w:eastAsia="Malgun Gothic"/>
          <w:szCs w:val="22"/>
          <w:lang w:val="fr"/>
        </w:rPr>
        <w:t> Région </w:t>
      </w:r>
      <w:r w:rsidRPr="00BF25DD">
        <w:rPr>
          <w:rFonts w:eastAsia="Malgun Gothic"/>
          <w:szCs w:val="22"/>
          <w:lang w:val="fr"/>
        </w:rPr>
        <w:t>et à se préoccuper des enjeux communs de santé publique. La convergence réglementaire pourrait rehausser le niveau de réglementation dans toute la</w:t>
      </w:r>
      <w:r w:rsidR="00620CEB">
        <w:rPr>
          <w:rFonts w:eastAsia="Malgun Gothic"/>
          <w:szCs w:val="22"/>
          <w:lang w:val="fr"/>
        </w:rPr>
        <w:t> Région </w:t>
      </w:r>
      <w:r w:rsidRPr="00BF25DD">
        <w:rPr>
          <w:rFonts w:eastAsia="Malgun Gothic"/>
          <w:szCs w:val="22"/>
          <w:lang w:val="fr"/>
        </w:rPr>
        <w:t xml:space="preserve">et établir des systèmes de réglementation plus efficaces dans des contextes comme le Pacifique, où les ressources sont limitées. </w:t>
      </w:r>
    </w:p>
    <w:p w14:paraId="7137A4BC" w14:textId="77777777" w:rsidR="00A1398A" w:rsidRDefault="00A1398A">
      <w:pPr>
        <w:spacing w:after="200" w:line="276" w:lineRule="auto"/>
        <w:jc w:val="left"/>
        <w:rPr>
          <w:rFonts w:eastAsia="Malgun Gothic" w:cs="Times New Roman"/>
          <w:lang w:val="fr" w:eastAsia="en-US"/>
        </w:rPr>
      </w:pPr>
      <w:r>
        <w:rPr>
          <w:rFonts w:eastAsia="Malgun Gothic"/>
          <w:lang w:val="fr"/>
        </w:rPr>
        <w:br w:type="page"/>
      </w:r>
    </w:p>
    <w:p w14:paraId="62015E52" w14:textId="6A5F9DDA" w:rsidR="00383D63" w:rsidRPr="004B4B10" w:rsidRDefault="00140B35" w:rsidP="00D26FA3">
      <w:pPr>
        <w:pStyle w:val="boxedsummary"/>
        <w:rPr>
          <w:rFonts w:eastAsia="Malgun Gothic"/>
          <w:szCs w:val="22"/>
          <w:lang w:val="fr-FR"/>
        </w:rPr>
      </w:pPr>
      <w:r>
        <w:rPr>
          <w:rFonts w:eastAsia="Malgun Gothic"/>
          <w:szCs w:val="22"/>
          <w:lang w:val="fr"/>
        </w:rPr>
        <w:lastRenderedPageBreak/>
        <w:t>Une étude réalisée en </w:t>
      </w:r>
      <w:r w:rsidR="00D825A5" w:rsidRPr="00140B35">
        <w:rPr>
          <w:rFonts w:eastAsia="Malgun Gothic"/>
          <w:szCs w:val="22"/>
          <w:lang w:val="fr"/>
        </w:rPr>
        <w:t>2018 pour identifier les moyens de renforcer les capacités de réglementation dans les pays insulaires du Pacifique a conclu qu’ils devraient collaborer dans le cadre d’une plateforme sous-régionale pour renforcer leurs systèmes de réglementation. Les directeurs de la santé du Pacifique ont approuvé, en avril 2019, la création d’une plateforme sous-régionale que les ministres de la Santé du Pacifique sont maintenant invités à approuver.</w:t>
      </w:r>
    </w:p>
    <w:bookmarkEnd w:id="0"/>
    <w:bookmarkEnd w:id="1"/>
    <w:p w14:paraId="698C5C0F" w14:textId="77777777" w:rsidR="00F23614" w:rsidRPr="004B4B10" w:rsidRDefault="00F23614">
      <w:pPr>
        <w:rPr>
          <w:rFonts w:asciiTheme="majorBidi" w:eastAsia="Malgun Gothic" w:hAnsiTheme="majorBidi" w:cstheme="majorBidi"/>
          <w:b/>
          <w:bCs/>
          <w:lang w:val="fr-FR"/>
        </w:rPr>
      </w:pPr>
      <w:r>
        <w:rPr>
          <w:rFonts w:asciiTheme="majorBidi" w:eastAsia="Malgun Gothic" w:hAnsiTheme="majorBidi" w:cstheme="majorBidi"/>
          <w:b/>
          <w:bCs/>
          <w:lang w:val="fr"/>
        </w:rPr>
        <w:br w:type="page"/>
      </w:r>
    </w:p>
    <w:p w14:paraId="48B49759" w14:textId="5B774E58" w:rsidR="001E5C7F" w:rsidRPr="004B4B10" w:rsidRDefault="001F4096" w:rsidP="00421564">
      <w:pPr>
        <w:pStyle w:val="Heading1"/>
        <w:rPr>
          <w:lang w:val="fr-FR"/>
        </w:rPr>
      </w:pPr>
      <w:r>
        <w:rPr>
          <w:lang w:val="fr"/>
        </w:rPr>
        <w:lastRenderedPageBreak/>
        <w:t xml:space="preserve">1. </w:t>
      </w:r>
      <w:r w:rsidR="00140B35">
        <w:rPr>
          <w:lang w:val="fr"/>
        </w:rPr>
        <w:t>CONTEXTE</w:t>
      </w:r>
    </w:p>
    <w:p w14:paraId="667885A0" w14:textId="363FD594" w:rsidR="00672AB8" w:rsidRPr="00794128" w:rsidRDefault="00672AB8" w:rsidP="00421564">
      <w:pPr>
        <w:rPr>
          <w:lang w:val="fr-FR"/>
        </w:rPr>
      </w:pPr>
      <w:r w:rsidRPr="00794128">
        <w:rPr>
          <w:lang w:val="fr"/>
        </w:rPr>
        <w:t>L’accès aux médicaments, aux vaccins et aux produits médicaux dont la qualité, la sécurité et l’efficacité sont garanties contribue à l’avènement de la couverture sanitaire universelle (CSU) et du concept d’îles-santé. Le renforcement de la réglementation est essentiel pour atteindre cet objectif. Il permettra aux pays</w:t>
      </w:r>
      <w:r w:rsidR="00825478" w:rsidRPr="00794128">
        <w:rPr>
          <w:lang w:val="fr"/>
        </w:rPr>
        <w:t> </w:t>
      </w:r>
      <w:r w:rsidRPr="00794128">
        <w:rPr>
          <w:lang w:val="fr"/>
        </w:rPr>
        <w:t>: i) d’améliorer la disponibilité des médicaments essentiels ainsi que le réseau et l’intégrité des chaînes d’approvisionnement</w:t>
      </w:r>
      <w:r w:rsidR="00825478" w:rsidRPr="00794128">
        <w:rPr>
          <w:lang w:val="fr"/>
        </w:rPr>
        <w:t> </w:t>
      </w:r>
      <w:r w:rsidRPr="00794128">
        <w:rPr>
          <w:lang w:val="fr"/>
        </w:rPr>
        <w:t>; ii) de mieux garantir la qualité et la sécurité des médicaments, en contribuant ainsi à de meilleurs résultats sanitaires pour la population</w:t>
      </w:r>
      <w:r w:rsidR="00825478" w:rsidRPr="00794128">
        <w:rPr>
          <w:lang w:val="fr"/>
        </w:rPr>
        <w:t> </w:t>
      </w:r>
      <w:r w:rsidRPr="00794128">
        <w:rPr>
          <w:lang w:val="fr"/>
        </w:rPr>
        <w:t>; iii) de protéger les populations contre les médicaments ne répondant pas aux normes ou falsifiés ainsi que les produits médicaux dangereux</w:t>
      </w:r>
      <w:r w:rsidR="00825478" w:rsidRPr="00794128">
        <w:rPr>
          <w:lang w:val="fr"/>
        </w:rPr>
        <w:t> </w:t>
      </w:r>
      <w:r w:rsidRPr="00794128">
        <w:rPr>
          <w:lang w:val="fr"/>
        </w:rPr>
        <w:t>; et iv) de favoriser la croissance du marché pharmaceutique, en permettant l’entrée d’une gamme élargie de médicaments de qualité garantie et abordables, dont de nouveaux produits innovants, qui répondent aux besoins de la population.</w:t>
      </w:r>
    </w:p>
    <w:p w14:paraId="38AB26EA" w14:textId="05758B6B" w:rsidR="00672AB8" w:rsidRPr="002C5B84" w:rsidRDefault="00672AB8" w:rsidP="00421564">
      <w:pPr>
        <w:rPr>
          <w:lang w:val="fr-FR"/>
        </w:rPr>
      </w:pPr>
      <w:r w:rsidRPr="002C5B84">
        <w:rPr>
          <w:lang w:val="fr"/>
        </w:rPr>
        <w:t xml:space="preserve">Le commerce mondial des produits médicaux, associé à la demande croissante de nouveaux médicaments et produits médicaux, exerce des pressions sur les pays pour qu’ils rehaussent leur niveau de réglementation. Au fil des ans, les </w:t>
      </w:r>
      <w:r w:rsidR="00BF25DD" w:rsidRPr="002C5B84">
        <w:rPr>
          <w:lang w:val="fr"/>
        </w:rPr>
        <w:t>États et Territoires insulaires du Pacifique</w:t>
      </w:r>
      <w:r w:rsidRPr="002C5B84">
        <w:rPr>
          <w:lang w:val="fr"/>
        </w:rPr>
        <w:t xml:space="preserve"> (PIC) ont dû relever de nombreux défis, notamment les pratiques irrégulières des fournisseurs et des distributeurs et l’apparition et la commercialisation de produits assortis de fausses allégations thérapeutiques. Ces pratiques nuisent à la santé et à la sécurité de la population. En outre, il est essentiel de veiller à ce que les médicaments soient d’une qualité, d’une sécurité et d’une efficacité garanties, compte tenu du fardeau croissant des maladies non transmissibles, qui nécessitent le traitement prolongé de vastes groupes de population, et de leur coût croissant pour les systèmes de santé.</w:t>
      </w:r>
    </w:p>
    <w:p w14:paraId="1900A60B" w14:textId="058924EF" w:rsidR="00672AB8" w:rsidRPr="00EC1CE8" w:rsidRDefault="00AB0078" w:rsidP="00421564">
      <w:pPr>
        <w:rPr>
          <w:lang w:val="fr-FR"/>
        </w:rPr>
      </w:pPr>
      <w:r w:rsidRPr="00EC1CE8">
        <w:rPr>
          <w:lang w:val="fr"/>
        </w:rPr>
        <w:t>Si certains systèmes nationaux de réglementation du Pacifique ont évolué pour relever ces défis, d’autres sont entravés par l’insuffisance des ressources, avec à la clé un manque d’uniformité des niveaux de réglementation et des normes à l’échelle de la région. Un système de réglementation pharmaceutique efficace et fonctionnel évitera que les pays ne reçoivent des médicaments ne répondant pas aux normes ou falsifiés et garantira un accès systématique à des médicaments essentiels, des vaccins et des médicaments traditionnels sûrs et de qualité garantie, qui sont importants pour atteindre la CSU et les objectifs du développement durable (ODD).</w:t>
      </w:r>
    </w:p>
    <w:p w14:paraId="69FCA9BB" w14:textId="53549020" w:rsidR="00F414BB" w:rsidRPr="005E43AB" w:rsidRDefault="00672AB8" w:rsidP="007365EA">
      <w:pPr>
        <w:rPr>
          <w:lang w:val="fr-FR"/>
        </w:rPr>
      </w:pPr>
      <w:r w:rsidRPr="005E43AB">
        <w:rPr>
          <w:lang w:val="fr"/>
        </w:rPr>
        <w:t xml:space="preserve">La réglementation des médicaments, des vaccins et des produits médicaux est complexe et exige beaucoup de ressources. Aucun pays ne peut l’assurer seul et la coopération et la convergence entre les pays sont donc nécessaires. </w:t>
      </w:r>
    </w:p>
    <w:p w14:paraId="7A79FEAA" w14:textId="704E238E" w:rsidR="00672AB8" w:rsidRPr="005E43AB" w:rsidRDefault="005E43AB" w:rsidP="007365EA">
      <w:pPr>
        <w:rPr>
          <w:lang w:val="fr-FR"/>
        </w:rPr>
      </w:pPr>
      <w:r w:rsidRPr="005E43AB">
        <w:rPr>
          <w:lang w:val="fr"/>
        </w:rPr>
        <w:t>En </w:t>
      </w:r>
      <w:r w:rsidR="00AB0078" w:rsidRPr="005E43AB">
        <w:rPr>
          <w:lang w:val="fr"/>
        </w:rPr>
        <w:t xml:space="preserve">2017, le Comité régional de l’OMS pour le Pacifique occidental a approuvé le </w:t>
      </w:r>
      <w:hyperlink r:id="rId11" w:history="1">
        <w:r w:rsidR="00AB0078" w:rsidRPr="005E43AB">
          <w:rPr>
            <w:rStyle w:val="Hyperlink"/>
            <w:lang w:val="fr"/>
          </w:rPr>
          <w:t xml:space="preserve">Cadre d’action régional du Pacifique occidental pour le renforcement, la convergence et la coopération en matière de </w:t>
        </w:r>
        <w:r w:rsidR="00AB0078" w:rsidRPr="005E43AB">
          <w:rPr>
            <w:rStyle w:val="Hyperlink"/>
            <w:lang w:val="fr"/>
          </w:rPr>
          <w:lastRenderedPageBreak/>
          <w:t>réglementation pour les médicaments et de personnel de santé</w:t>
        </w:r>
      </w:hyperlink>
      <w:r w:rsidR="00AB0078" w:rsidRPr="005E43AB">
        <w:rPr>
          <w:lang w:val="fr"/>
        </w:rPr>
        <w:t xml:space="preserve"> (</w:t>
      </w:r>
      <w:hyperlink r:id="rId12" w:history="1">
        <w:r w:rsidR="00AB0078" w:rsidRPr="005E43AB">
          <w:rPr>
            <w:rStyle w:val="Hyperlink"/>
            <w:u w:val="none"/>
            <w:lang w:val="fr"/>
          </w:rPr>
          <w:t>WPR/RC68.R7</w:t>
        </w:r>
      </w:hyperlink>
      <w:r w:rsidR="00AB0078" w:rsidRPr="005E43AB">
        <w:rPr>
          <w:lang w:val="fr"/>
        </w:rPr>
        <w:t xml:space="preserve">) et a invité instamment les </w:t>
      </w:r>
      <w:r w:rsidR="00BF25DD" w:rsidRPr="005E43AB">
        <w:rPr>
          <w:lang w:val="fr"/>
        </w:rPr>
        <w:t>États Membres</w:t>
      </w:r>
      <w:r w:rsidR="00AB0078" w:rsidRPr="005E43AB">
        <w:rPr>
          <w:lang w:val="fr"/>
        </w:rPr>
        <w:t> : i) à se servir du Plan d’action régional pour orienter l’élaboration de cadres juridiques, de politiques, de stratégies et de plans aux fins du renforcement de la réglementation</w:t>
      </w:r>
      <w:r w:rsidR="00825478" w:rsidRPr="005E43AB">
        <w:rPr>
          <w:lang w:val="fr"/>
        </w:rPr>
        <w:t> </w:t>
      </w:r>
      <w:r w:rsidR="00AB0078" w:rsidRPr="005E43AB">
        <w:rPr>
          <w:lang w:val="fr"/>
        </w:rPr>
        <w:t>; ii) à établir et à renforcer les capacités du personnel de réglementation et à impliquer les parties prenantes concernées dans le suivi de l’impact et de l’efficacité des systèmes nationaux de réglementation en matière de médicaments et de personnel de santé</w:t>
      </w:r>
      <w:r w:rsidR="00825478" w:rsidRPr="005E43AB">
        <w:rPr>
          <w:lang w:val="fr"/>
        </w:rPr>
        <w:t> </w:t>
      </w:r>
      <w:r w:rsidR="00AB0078" w:rsidRPr="005E43AB">
        <w:rPr>
          <w:lang w:val="fr"/>
        </w:rPr>
        <w:t>; iii) à participer aux initiatives de convergence et de coopération régionales pour renforcer collectivement les capacités de réglementation de la</w:t>
      </w:r>
      <w:r w:rsidR="00620CEB" w:rsidRPr="005E43AB">
        <w:rPr>
          <w:lang w:val="fr"/>
        </w:rPr>
        <w:t> Région </w:t>
      </w:r>
      <w:r w:rsidR="00AB0078" w:rsidRPr="005E43AB">
        <w:rPr>
          <w:lang w:val="fr"/>
        </w:rPr>
        <w:t>et à se préoccuper des enjeux de santé publique</w:t>
      </w:r>
      <w:r w:rsidR="00825478" w:rsidRPr="005E43AB">
        <w:rPr>
          <w:lang w:val="fr"/>
        </w:rPr>
        <w:t> </w:t>
      </w:r>
      <w:r w:rsidR="00AB0078" w:rsidRPr="005E43AB">
        <w:rPr>
          <w:lang w:val="fr"/>
        </w:rPr>
        <w:t xml:space="preserve">; et iv) à échanger des informations sur les avancées réalisées dans la </w:t>
      </w:r>
      <w:r w:rsidR="00113858">
        <w:rPr>
          <w:lang w:val="fr"/>
        </w:rPr>
        <w:t>mise en œuvre</w:t>
      </w:r>
      <w:r w:rsidR="00AB0078" w:rsidRPr="005E43AB">
        <w:rPr>
          <w:lang w:val="fr"/>
        </w:rPr>
        <w:t xml:space="preserve"> du Programme d’action régional. </w:t>
      </w:r>
    </w:p>
    <w:p w14:paraId="6AD1CDB7" w14:textId="63F6FF08" w:rsidR="00E231AB" w:rsidRPr="005E43AB" w:rsidRDefault="00672AB8" w:rsidP="00421564">
      <w:pPr>
        <w:rPr>
          <w:lang w:val="fr-FR"/>
        </w:rPr>
      </w:pPr>
      <w:r w:rsidRPr="005E43AB">
        <w:rPr>
          <w:lang w:val="fr"/>
        </w:rPr>
        <w:t>La convergence réglementaire est le processus par lequel les prescriptions, les approches et les systèmes réglementaires se rapprochent ou s’alignent davantage au fil du temps du fait de l’adoption d’avis techniques, de normes et de meilleures pratiques reconnues à l’échelle internationale. Elle peut permettre d’aborder les problèmes de réglementation et de rehausser le niveau de réglementation dans l’ensemble du Pacifique afin de répondre aux préoccupations communes en matière de santé publique. Partout dans le monde, d’importantes initiatives de coopération régionale et mondiale soutiennent de longue date les systèmes de réglementation nationaux en utilisant des normes communes et des documents uniformes, et en se fiant aux décisions des membres participants. Le nombre d’initiatives de convergence et de coopération visant la réglementation des médicaments et des produits médicaux a augmenté</w:t>
      </w:r>
      <w:r w:rsidR="00825478" w:rsidRPr="005E43AB">
        <w:rPr>
          <w:lang w:val="fr"/>
        </w:rPr>
        <w:t> </w:t>
      </w:r>
      <w:r w:rsidRPr="005E43AB">
        <w:rPr>
          <w:lang w:val="fr"/>
        </w:rPr>
        <w:t xml:space="preserve">; elles sont regroupées en fonction de leur intérêt politique, économique et social. </w:t>
      </w:r>
    </w:p>
    <w:p w14:paraId="444F50C5" w14:textId="10A61E51" w:rsidR="00F414BB" w:rsidRPr="004B4B10" w:rsidRDefault="00303FF7" w:rsidP="00421564">
      <w:pPr>
        <w:rPr>
          <w:lang w:val="fr-FR"/>
        </w:rPr>
      </w:pPr>
      <w:r w:rsidRPr="005E43AB">
        <w:rPr>
          <w:lang w:val="fr"/>
        </w:rPr>
        <w:t xml:space="preserve">Dans le Pacifique, 12 pays insulaires (États fédérés de Micronésie, Fidji, Îles Cook, Îles Marshall, Îles Salomon, Kiribati, Nauru, Palaos, Samoa, Tonga, Tuvalu et Vanuatu) sont inscrits au programme </w:t>
      </w:r>
      <w:hyperlink r:id="rId13" w:history="1">
        <w:r w:rsidRPr="005E43AB">
          <w:rPr>
            <w:rStyle w:val="Hyperlink"/>
            <w:lang w:val="fr"/>
          </w:rPr>
          <w:t xml:space="preserve">Med </w:t>
        </w:r>
        <w:proofErr w:type="spellStart"/>
        <w:r w:rsidRPr="005E43AB">
          <w:rPr>
            <w:rStyle w:val="Hyperlink"/>
            <w:lang w:val="fr"/>
          </w:rPr>
          <w:t>Quality</w:t>
        </w:r>
        <w:proofErr w:type="spellEnd"/>
        <w:r w:rsidRPr="005E43AB">
          <w:rPr>
            <w:rStyle w:val="Hyperlink"/>
            <w:lang w:val="fr"/>
          </w:rPr>
          <w:t xml:space="preserve"> Assurance</w:t>
        </w:r>
      </w:hyperlink>
      <w:r w:rsidRPr="005E43AB">
        <w:rPr>
          <w:lang w:val="fr"/>
        </w:rPr>
        <w:t>, une plateforme sous-régionale d’information mise au point par l’OMS pour aider les pays à prendre des décisions concernant leurs approvisionnements. Grâce à ce site d’échange d’informations, les pays ont pu échanger des informations sur les fournisseurs ou les fabricants qui ne respectent pas les réglementations et produisent des médicaments ne répondant pas aux normes ou de mauvaise qualité.</w:t>
      </w:r>
      <w:r>
        <w:rPr>
          <w:lang w:val="fr"/>
        </w:rPr>
        <w:t xml:space="preserve"> </w:t>
      </w:r>
    </w:p>
    <w:p w14:paraId="2C2B3C31" w14:textId="65E3B74D" w:rsidR="00672AB8" w:rsidRPr="004B4B10" w:rsidRDefault="001F4096" w:rsidP="001F4096">
      <w:pPr>
        <w:spacing w:before="480" w:after="480"/>
        <w:jc w:val="center"/>
        <w:rPr>
          <w:rFonts w:asciiTheme="majorBidi" w:hAnsiTheme="majorBidi" w:cstheme="majorBidi"/>
          <w:b/>
          <w:bCs/>
          <w:lang w:val="fr-FR"/>
        </w:rPr>
      </w:pPr>
      <w:r>
        <w:rPr>
          <w:rFonts w:asciiTheme="majorBidi" w:hAnsiTheme="majorBidi" w:cstheme="majorBidi"/>
          <w:b/>
          <w:bCs/>
          <w:lang w:val="fr"/>
        </w:rPr>
        <w:t xml:space="preserve">2. </w:t>
      </w:r>
      <w:r w:rsidR="00140B35" w:rsidRPr="00140B35">
        <w:rPr>
          <w:rFonts w:asciiTheme="majorBidi" w:hAnsiTheme="majorBidi" w:cstheme="majorBidi"/>
          <w:b/>
          <w:bCs/>
          <w:lang w:val="fr"/>
        </w:rPr>
        <w:t>PROGRÈS</w:t>
      </w:r>
    </w:p>
    <w:p w14:paraId="11B0EB49" w14:textId="77777777" w:rsidR="009962E7" w:rsidRPr="008566AC" w:rsidRDefault="009962E7" w:rsidP="007365EA">
      <w:pPr>
        <w:pStyle w:val="Heading2"/>
        <w:rPr>
          <w:lang w:val="fr-FR"/>
        </w:rPr>
      </w:pPr>
      <w:r w:rsidRPr="008566AC">
        <w:rPr>
          <w:lang w:val="fr"/>
        </w:rPr>
        <w:t>2.1 Atelier technique sur le renforcement des systèmes de réglementation</w:t>
      </w:r>
    </w:p>
    <w:p w14:paraId="4D066F6D" w14:textId="3D75888F" w:rsidR="00672AB8" w:rsidRPr="008566AC" w:rsidRDefault="008566AC" w:rsidP="00421564">
      <w:pPr>
        <w:rPr>
          <w:lang w:val="fr-FR"/>
        </w:rPr>
      </w:pPr>
      <w:r>
        <w:rPr>
          <w:lang w:val="fr"/>
        </w:rPr>
        <w:t>En </w:t>
      </w:r>
      <w:r w:rsidR="00672AB8" w:rsidRPr="008566AC">
        <w:rPr>
          <w:lang w:val="fr"/>
        </w:rPr>
        <w:t xml:space="preserve">mars 2018, un </w:t>
      </w:r>
      <w:hyperlink r:id="rId14" w:history="1">
        <w:r w:rsidR="00672AB8" w:rsidRPr="008566AC">
          <w:rPr>
            <w:rStyle w:val="Hyperlink"/>
            <w:lang w:val="fr"/>
          </w:rPr>
          <w:t>atelier technique sur le renforcement des cadres réglementaires régissant les systèmes pharmaceutiques dans le Pacifique</w:t>
        </w:r>
      </w:hyperlink>
      <w:r w:rsidR="00672AB8" w:rsidRPr="008566AC">
        <w:rPr>
          <w:lang w:val="fr"/>
        </w:rPr>
        <w:t xml:space="preserve"> s’est tenu aux Fidji pour examiner les stratégies prioritaires de renforcement de la réglementation des médicaments et des produits médicaux, </w:t>
      </w:r>
      <w:r w:rsidR="00672AB8" w:rsidRPr="008566AC">
        <w:rPr>
          <w:lang w:val="fr"/>
        </w:rPr>
        <w:lastRenderedPageBreak/>
        <w:t>conformément au Programme d’action régional. Cet atelier a rassemblé pour la première fois des juristes et des chefs de départements pharmaceutiques, réunis pour examiner les cadres juridiques et réglementaires afin de comprendre</w:t>
      </w:r>
      <w:r w:rsidR="00825478" w:rsidRPr="008566AC">
        <w:rPr>
          <w:lang w:val="fr"/>
        </w:rPr>
        <w:t> </w:t>
      </w:r>
      <w:r w:rsidR="00672AB8" w:rsidRPr="008566AC">
        <w:rPr>
          <w:lang w:val="fr"/>
        </w:rPr>
        <w:t xml:space="preserve">: le rôle de chaque profession, la portée des fonctions de réglementation, les expériences nationales communes et les domaines de renforcement des systèmes au niveau national et de coopération au niveau régional. Vingt représentants de 12 pays (États fédérés de Micronésie, Fidji, Îles Cook, Îles Salomon, Kiribati, Nauru, Nioué, Palaos, Papouasie-Nouvelle-Guinée, Tonga, Tuvalu et Vanuatu) y ont assisté. Au cours de la réunion, ces représentants ont confirmé qu’ils souhaitaient étudier la possibilité d’établir une plateforme sous-régionale en vue du renforcement des systèmes de réglementation et de coopération dans les pays insulaires du Pacifique. Il a donc été convenu de réaliser une étude pour évaluer et analyser la situation.    </w:t>
      </w:r>
    </w:p>
    <w:p w14:paraId="0AED8E21" w14:textId="77777777" w:rsidR="009962E7" w:rsidRPr="005C701C" w:rsidRDefault="009962E7" w:rsidP="007365EA">
      <w:pPr>
        <w:pStyle w:val="Heading2"/>
        <w:rPr>
          <w:lang w:val="fr-FR"/>
        </w:rPr>
      </w:pPr>
      <w:r w:rsidRPr="005C701C">
        <w:rPr>
          <w:lang w:val="fr"/>
        </w:rPr>
        <w:t xml:space="preserve">2.2 Évaluation des systèmes réglementaires et des réglementations en vigueur dans le Pacifique  </w:t>
      </w:r>
    </w:p>
    <w:p w14:paraId="5672402F" w14:textId="74C9D7D5" w:rsidR="00672AB8" w:rsidRPr="005C701C" w:rsidRDefault="00672AB8" w:rsidP="00421564">
      <w:pPr>
        <w:rPr>
          <w:lang w:val="fr-FR"/>
        </w:rPr>
      </w:pPr>
      <w:r w:rsidRPr="005C701C">
        <w:rPr>
          <w:lang w:val="fr"/>
        </w:rPr>
        <w:t xml:space="preserve">L’étude a </w:t>
      </w:r>
      <w:r w:rsidR="00825478" w:rsidRPr="005C701C">
        <w:rPr>
          <w:lang w:val="fr"/>
        </w:rPr>
        <w:t>commenc</w:t>
      </w:r>
      <w:r w:rsidR="00507467" w:rsidRPr="005C701C">
        <w:rPr>
          <w:lang w:val="fr"/>
        </w:rPr>
        <w:t>é en </w:t>
      </w:r>
      <w:r w:rsidRPr="005C701C">
        <w:rPr>
          <w:lang w:val="fr"/>
        </w:rPr>
        <w:t>août</w:t>
      </w:r>
      <w:r w:rsidR="00507467" w:rsidRPr="005C701C">
        <w:rPr>
          <w:lang w:val="fr"/>
        </w:rPr>
        <w:t> </w:t>
      </w:r>
      <w:r w:rsidRPr="005C701C">
        <w:rPr>
          <w:lang w:val="fr"/>
        </w:rPr>
        <w:t>2018 et s’est ache</w:t>
      </w:r>
      <w:r w:rsidR="00507467" w:rsidRPr="005C701C">
        <w:rPr>
          <w:lang w:val="fr"/>
        </w:rPr>
        <w:t xml:space="preserve">vée </w:t>
      </w:r>
      <w:proofErr w:type="spellStart"/>
      <w:r w:rsidR="00507467" w:rsidRPr="005C701C">
        <w:rPr>
          <w:lang w:val="fr"/>
        </w:rPr>
        <w:t>en</w:t>
      </w:r>
      <w:r w:rsidRPr="005C701C">
        <w:rPr>
          <w:lang w:val="fr"/>
        </w:rPr>
        <w:t>février</w:t>
      </w:r>
      <w:proofErr w:type="spellEnd"/>
      <w:r w:rsidR="00507467" w:rsidRPr="005C701C">
        <w:rPr>
          <w:lang w:val="fr"/>
        </w:rPr>
        <w:t> </w:t>
      </w:r>
      <w:r w:rsidRPr="005C701C">
        <w:rPr>
          <w:lang w:val="fr"/>
        </w:rPr>
        <w:t xml:space="preserve">2019 (voir le rapport complet en annexe). Au total, 12 pays y ont participé (États fédérés de Micronésie, Fidji, Îles Cook, Îles Marshall, Kiribati, Nauru, Nioué, Palaos, Papouasie-Nouvelle-Guinée, Tonga, Tuvalu et Vanuatu). Les données ont été recueillies dans le cadre de travaux de recherche documentaire, d’enquêtes en ligne et d’entretiens individuels avec des pharmaciens en chef et d’autres acteurs clés des pays participants. L’objectif principal de l’évaluation était de déterminer l’état actuel de la réglementation et des systèmes de réglementation des médicaments dans les pays insulaires du Pacifique et d’identifier les options et les moyens pouvant être </w:t>
      </w:r>
      <w:r w:rsidR="00113858" w:rsidRPr="005C701C">
        <w:rPr>
          <w:lang w:val="fr"/>
        </w:rPr>
        <w:t>mis en œuvre</w:t>
      </w:r>
      <w:r w:rsidRPr="005C701C">
        <w:rPr>
          <w:lang w:val="fr"/>
        </w:rPr>
        <w:t xml:space="preserve"> pour renforcer les capacités réglementaires dans la </w:t>
      </w:r>
      <w:r w:rsidR="00507467" w:rsidRPr="005C701C">
        <w:rPr>
          <w:lang w:val="fr"/>
        </w:rPr>
        <w:t>R</w:t>
      </w:r>
      <w:r w:rsidRPr="005C701C">
        <w:rPr>
          <w:lang w:val="fr"/>
        </w:rPr>
        <w:t>égion, y compris la collaboration au niveau sous-régional axée sur les fonctions de réglementation, telles que</w:t>
      </w:r>
      <w:r w:rsidR="00825478" w:rsidRPr="005C701C">
        <w:rPr>
          <w:lang w:val="fr"/>
        </w:rPr>
        <w:t> </w:t>
      </w:r>
      <w:r w:rsidRPr="005C701C">
        <w:rPr>
          <w:lang w:val="fr"/>
        </w:rPr>
        <w:t>: l’agrément des établissements (importateurs, grossistes, distributeurs et détaillants)</w:t>
      </w:r>
      <w:r w:rsidR="00825478" w:rsidRPr="005C701C">
        <w:rPr>
          <w:lang w:val="fr"/>
        </w:rPr>
        <w:t> </w:t>
      </w:r>
      <w:r w:rsidRPr="005C701C">
        <w:rPr>
          <w:lang w:val="fr"/>
        </w:rPr>
        <w:t>; l’homologation des produits</w:t>
      </w:r>
      <w:r w:rsidR="00825478" w:rsidRPr="005C701C">
        <w:rPr>
          <w:lang w:val="fr"/>
        </w:rPr>
        <w:t> </w:t>
      </w:r>
      <w:r w:rsidRPr="005C701C">
        <w:rPr>
          <w:lang w:val="fr"/>
        </w:rPr>
        <w:t>; la surveillance du marché et la pharmacovigilance</w:t>
      </w:r>
      <w:r w:rsidR="00825478" w:rsidRPr="005C701C">
        <w:rPr>
          <w:lang w:val="fr"/>
        </w:rPr>
        <w:t> </w:t>
      </w:r>
      <w:r w:rsidRPr="005C701C">
        <w:rPr>
          <w:lang w:val="fr"/>
        </w:rPr>
        <w:t xml:space="preserve">; et le rappel/retrait des produits qui ne répondent pas aux normes.        </w:t>
      </w:r>
    </w:p>
    <w:p w14:paraId="78152DC0" w14:textId="77777777" w:rsidR="009962E7" w:rsidRPr="005C701C" w:rsidRDefault="009962E7" w:rsidP="007365EA">
      <w:pPr>
        <w:pStyle w:val="Heading2"/>
        <w:rPr>
          <w:lang w:val="fr-FR"/>
        </w:rPr>
      </w:pPr>
      <w:r w:rsidRPr="005C701C">
        <w:rPr>
          <w:lang w:val="fr"/>
        </w:rPr>
        <w:t>2.3 Présentation des conclusions lors d’une réunion sous-régionale sur les systèmes de réglementation</w:t>
      </w:r>
    </w:p>
    <w:p w14:paraId="5F89276B" w14:textId="6B81E90B" w:rsidR="00672AB8" w:rsidRPr="005C701C" w:rsidRDefault="00672AB8" w:rsidP="00421564">
      <w:pPr>
        <w:rPr>
          <w:lang w:val="fr-FR"/>
        </w:rPr>
      </w:pPr>
      <w:r w:rsidRPr="005C701C">
        <w:rPr>
          <w:lang w:val="fr"/>
        </w:rPr>
        <w:t>Les résultats de l’étude ont été présentés lors de la réunion des îles du Pacifique sur les systèmes sous-régionaux de réglementation des médicaments, qui s’est tenue du 28</w:t>
      </w:r>
      <w:r w:rsidR="00825478" w:rsidRPr="005C701C">
        <w:rPr>
          <w:lang w:val="fr"/>
        </w:rPr>
        <w:t> </w:t>
      </w:r>
      <w:r w:rsidRPr="005C701C">
        <w:rPr>
          <w:lang w:val="fr"/>
        </w:rPr>
        <w:t>février au 1</w:t>
      </w:r>
      <w:r w:rsidRPr="005C701C">
        <w:rPr>
          <w:vertAlign w:val="superscript"/>
          <w:lang w:val="fr"/>
        </w:rPr>
        <w:t>er</w:t>
      </w:r>
      <w:r w:rsidR="00825478" w:rsidRPr="005C701C">
        <w:rPr>
          <w:lang w:val="fr"/>
        </w:rPr>
        <w:t> </w:t>
      </w:r>
      <w:r w:rsidRPr="005C701C">
        <w:rPr>
          <w:lang w:val="fr"/>
        </w:rPr>
        <w:t xml:space="preserve">mars 2019. Étaient représentés les 12 pays ayant participé à l’étude, ainsi que le Samoa, les Îles Salomon et les Tokélaou. Parmi ces représentants figuraient les ministres de la </w:t>
      </w:r>
      <w:r w:rsidR="00825478" w:rsidRPr="005C701C">
        <w:rPr>
          <w:lang w:val="fr"/>
        </w:rPr>
        <w:t>S</w:t>
      </w:r>
      <w:r w:rsidRPr="005C701C">
        <w:rPr>
          <w:lang w:val="fr"/>
        </w:rPr>
        <w:t>anté des États fédérés de Micronésie et des Palaos, des secrétaires permanents, des hauts responsables et des cadres des ministères de la Santé, ainsi que des chefs des départements pharmaceutiques responsables de la réglementation des produits pharmaceutiques.</w:t>
      </w:r>
    </w:p>
    <w:p w14:paraId="3E83AC86" w14:textId="77777777" w:rsidR="005C701C" w:rsidRDefault="005C701C" w:rsidP="00421564">
      <w:pPr>
        <w:rPr>
          <w:highlight w:val="yellow"/>
          <w:lang w:val="fr"/>
        </w:rPr>
      </w:pPr>
    </w:p>
    <w:p w14:paraId="2BBA19B3" w14:textId="1584EA52" w:rsidR="00672AB8" w:rsidRPr="004E5BB1" w:rsidRDefault="00CD60D5" w:rsidP="00421564">
      <w:pPr>
        <w:rPr>
          <w:lang w:val="fr-FR"/>
        </w:rPr>
      </w:pPr>
      <w:r w:rsidRPr="004E5BB1">
        <w:rPr>
          <w:lang w:val="fr"/>
        </w:rPr>
        <w:lastRenderedPageBreak/>
        <w:t>Les principales conclusions de cette étude sont les suivantes :</w:t>
      </w:r>
    </w:p>
    <w:p w14:paraId="1D78BC19" w14:textId="2A38AB44" w:rsidR="00672AB8" w:rsidRPr="004E5BB1" w:rsidRDefault="00672AB8" w:rsidP="007365EA">
      <w:pPr>
        <w:pStyle w:val="BodyText1"/>
        <w:numPr>
          <w:ilvl w:val="0"/>
          <w:numId w:val="47"/>
        </w:numPr>
        <w:jc w:val="lowKashida"/>
        <w:rPr>
          <w:rFonts w:eastAsia="Malgun Gothic"/>
          <w:szCs w:val="22"/>
          <w:lang w:val="fr-FR"/>
        </w:rPr>
      </w:pPr>
      <w:r w:rsidRPr="004E5BB1">
        <w:rPr>
          <w:rFonts w:eastAsia="Malgun Gothic"/>
          <w:szCs w:val="22"/>
          <w:lang w:val="fr"/>
        </w:rPr>
        <w:t xml:space="preserve">Les 12 pays insulaires du Pacifique qui ont participé à l’étude sont tous dotés de lois couvrant la réglementation pharmaceutique et le contrôle des médicaments dangereux et des poisons, mais elles doivent être révisées et actualisées pour améliorer leur alignement sur les normes et pratiques internationales et pour mieux répondre aux besoins des pays. </w:t>
      </w:r>
    </w:p>
    <w:p w14:paraId="3BD4DD47" w14:textId="13D76912" w:rsidR="00672AB8" w:rsidRPr="004E5BB1" w:rsidRDefault="00672AB8" w:rsidP="007365EA">
      <w:pPr>
        <w:pStyle w:val="BodyText1"/>
        <w:numPr>
          <w:ilvl w:val="0"/>
          <w:numId w:val="47"/>
        </w:numPr>
        <w:jc w:val="lowKashida"/>
        <w:rPr>
          <w:rFonts w:eastAsia="Malgun Gothic"/>
          <w:szCs w:val="22"/>
          <w:lang w:val="fr-FR"/>
        </w:rPr>
      </w:pPr>
      <w:r w:rsidRPr="004E5BB1">
        <w:rPr>
          <w:rFonts w:eastAsia="Malgun Gothic"/>
          <w:szCs w:val="22"/>
          <w:lang w:val="fr"/>
        </w:rPr>
        <w:t>Les fonctions de réglementation les plus courantes couvertes par les lois comprennent l’homologation des médicaments, l’agrément des établissements, la réglementation de la profession pharmaceutique et la déclaration des effets indésirables.</w:t>
      </w:r>
    </w:p>
    <w:p w14:paraId="7039D098" w14:textId="23198669" w:rsidR="00672AB8" w:rsidRPr="004E5BB1" w:rsidRDefault="00672AB8" w:rsidP="007365EA">
      <w:pPr>
        <w:pStyle w:val="BodyText1"/>
        <w:numPr>
          <w:ilvl w:val="0"/>
          <w:numId w:val="47"/>
        </w:numPr>
        <w:jc w:val="lowKashida"/>
        <w:rPr>
          <w:rFonts w:eastAsia="Malgun Gothic"/>
          <w:szCs w:val="22"/>
          <w:lang w:val="fr-FR"/>
        </w:rPr>
      </w:pPr>
      <w:r w:rsidRPr="004E5BB1">
        <w:rPr>
          <w:rFonts w:eastAsia="Malgun Gothic"/>
          <w:szCs w:val="22"/>
          <w:lang w:val="fr"/>
        </w:rPr>
        <w:t>Neuf des 12 pays insulaires du Pacifique sont dotés d’une politique nationale sur les médicaments qui soutient et encourage la participation à la coopération technique et régionale dans les domaines de la formation et du perfectionnement du personnel, de l’assurance et du contrôle de la qualité, de l’approvisionnement régional et de l’échange d’informations sur la qualité des médicaments et des fournisseurs.</w:t>
      </w:r>
    </w:p>
    <w:p w14:paraId="424A1F9A" w14:textId="5770E55E" w:rsidR="00CD60D5" w:rsidRPr="004E5BB1" w:rsidRDefault="00672AB8" w:rsidP="007365EA">
      <w:pPr>
        <w:pStyle w:val="BodyText1"/>
        <w:numPr>
          <w:ilvl w:val="0"/>
          <w:numId w:val="47"/>
        </w:numPr>
        <w:jc w:val="lowKashida"/>
        <w:rPr>
          <w:rFonts w:eastAsia="Malgun Gothic"/>
          <w:szCs w:val="22"/>
          <w:lang w:val="fr-FR"/>
        </w:rPr>
      </w:pPr>
      <w:r w:rsidRPr="004E5BB1">
        <w:rPr>
          <w:rFonts w:eastAsia="Malgun Gothic"/>
          <w:szCs w:val="22"/>
          <w:lang w:val="fr"/>
        </w:rPr>
        <w:t>Neuf des 12 pays insulaires du Pacifique sont dotés de dispositions explicites sur la collaboration avec d’autres organismes de réglementation. La fonction de réglementation la plus propice aux mécanismes de coopération/recours est l’homologation des médicaments.</w:t>
      </w:r>
    </w:p>
    <w:p w14:paraId="3383D4CB" w14:textId="0E8CD7E0" w:rsidR="00CD60D5" w:rsidRPr="004E5BB1" w:rsidRDefault="00672AB8" w:rsidP="007365EA">
      <w:pPr>
        <w:pStyle w:val="BodyText1"/>
        <w:numPr>
          <w:ilvl w:val="0"/>
          <w:numId w:val="47"/>
        </w:numPr>
        <w:jc w:val="lowKashida"/>
        <w:rPr>
          <w:rFonts w:eastAsia="Malgun Gothic"/>
          <w:szCs w:val="22"/>
          <w:lang w:val="fr-FR"/>
        </w:rPr>
      </w:pPr>
      <w:r w:rsidRPr="004E5BB1">
        <w:rPr>
          <w:rFonts w:eastAsia="Malgun Gothic"/>
          <w:szCs w:val="22"/>
          <w:lang w:val="fr"/>
        </w:rPr>
        <w:t xml:space="preserve">Bien que des lois soient en place, leur </w:t>
      </w:r>
      <w:r w:rsidR="00113858" w:rsidRPr="004E5BB1">
        <w:rPr>
          <w:rFonts w:eastAsia="Malgun Gothic"/>
          <w:szCs w:val="22"/>
          <w:lang w:val="fr"/>
        </w:rPr>
        <w:t>mise en œuvre</w:t>
      </w:r>
      <w:r w:rsidRPr="004E5BB1">
        <w:rPr>
          <w:rFonts w:eastAsia="Malgun Gothic"/>
          <w:szCs w:val="22"/>
          <w:lang w:val="fr"/>
        </w:rPr>
        <w:t xml:space="preserve"> et leur application varient fortement d’un pays à l’autre en fonction des capacités techniques, humaines et financières des organes de réglementation. </w:t>
      </w:r>
    </w:p>
    <w:p w14:paraId="63874DA1" w14:textId="28329423" w:rsidR="00672AB8" w:rsidRPr="004E5BB1" w:rsidRDefault="004948C5" w:rsidP="007365EA">
      <w:pPr>
        <w:pStyle w:val="BodyText1"/>
        <w:numPr>
          <w:ilvl w:val="0"/>
          <w:numId w:val="47"/>
        </w:numPr>
        <w:jc w:val="lowKashida"/>
        <w:rPr>
          <w:rFonts w:eastAsia="Malgun Gothic"/>
          <w:szCs w:val="22"/>
          <w:lang w:val="fr-FR"/>
        </w:rPr>
      </w:pPr>
      <w:r w:rsidRPr="004E5BB1">
        <w:rPr>
          <w:rFonts w:eastAsia="Malgun Gothic"/>
          <w:szCs w:val="22"/>
          <w:lang w:val="fr"/>
        </w:rPr>
        <w:t>Bien que la plupart des pays insulaires du Pacifique ne</w:t>
      </w:r>
      <w:r w:rsidR="004E5BB1">
        <w:rPr>
          <w:rFonts w:eastAsia="Malgun Gothic"/>
          <w:szCs w:val="22"/>
          <w:lang w:val="fr"/>
        </w:rPr>
        <w:t xml:space="preserve"> soient pas en mesure de mettre en </w:t>
      </w:r>
      <w:r w:rsidR="006669E1">
        <w:rPr>
          <w:rFonts w:eastAsia="Malgun Gothic"/>
          <w:szCs w:val="22"/>
          <w:lang w:val="fr"/>
        </w:rPr>
        <w:t>œuvre seul</w:t>
      </w:r>
      <w:r w:rsidRPr="004E5BB1">
        <w:rPr>
          <w:rFonts w:eastAsia="Malgun Gothic"/>
          <w:szCs w:val="22"/>
          <w:lang w:val="fr"/>
        </w:rPr>
        <w:t xml:space="preserve"> l’ensemble des fonctions de réglementation, ils peuvent participer à des initiatives régionales de convergence pour renforcer collectivement les capacités de réglementation aux niveaux national et sous-régional afin de répondre aux enjeux communs de santé publique.</w:t>
      </w:r>
    </w:p>
    <w:p w14:paraId="58BA0A2E" w14:textId="77777777" w:rsidR="009962E7" w:rsidRPr="001E416F" w:rsidRDefault="009962E7" w:rsidP="007365EA">
      <w:pPr>
        <w:pStyle w:val="Heading2"/>
        <w:rPr>
          <w:lang w:val="fr-FR"/>
        </w:rPr>
      </w:pPr>
      <w:r w:rsidRPr="001E416F">
        <w:rPr>
          <w:lang w:val="fr"/>
        </w:rPr>
        <w:t xml:space="preserve">2.4 Plateforme réglementaire </w:t>
      </w:r>
      <w:proofErr w:type="spellStart"/>
      <w:r w:rsidRPr="001E416F">
        <w:rPr>
          <w:lang w:val="fr"/>
        </w:rPr>
        <w:t>sous-régionale</w:t>
      </w:r>
      <w:proofErr w:type="spellEnd"/>
      <w:r w:rsidRPr="001E416F">
        <w:rPr>
          <w:lang w:val="fr"/>
        </w:rPr>
        <w:t xml:space="preserve"> proposée</w:t>
      </w:r>
    </w:p>
    <w:p w14:paraId="742567BD" w14:textId="43EC0601" w:rsidR="00672AB8" w:rsidRPr="00C31623" w:rsidRDefault="00672AB8" w:rsidP="00421564">
      <w:pPr>
        <w:rPr>
          <w:lang w:val="fr-FR"/>
        </w:rPr>
      </w:pPr>
      <w:r w:rsidRPr="00C31623">
        <w:rPr>
          <w:lang w:val="fr"/>
        </w:rPr>
        <w:t>L’étude a examiné plusieurs options de renforcement de la réglementation, notamment</w:t>
      </w:r>
      <w:r w:rsidR="00825478" w:rsidRPr="00C31623">
        <w:rPr>
          <w:lang w:val="fr"/>
        </w:rPr>
        <w:t> </w:t>
      </w:r>
      <w:r w:rsidRPr="00C31623">
        <w:rPr>
          <w:lang w:val="fr"/>
        </w:rPr>
        <w:t>: i) la mise en place de systèmes nationaux de réglementation dans chaque pays, en fonction de leurs besoins et de leur situation</w:t>
      </w:r>
      <w:r w:rsidR="00825478" w:rsidRPr="00C31623">
        <w:rPr>
          <w:lang w:val="fr"/>
        </w:rPr>
        <w:t> </w:t>
      </w:r>
      <w:r w:rsidRPr="00C31623">
        <w:rPr>
          <w:lang w:val="fr"/>
        </w:rPr>
        <w:t>; ii) le recours à d’autres pays dotés d’organes de réglementation nationaux bien établis</w:t>
      </w:r>
      <w:r w:rsidR="00825478" w:rsidRPr="00C31623">
        <w:rPr>
          <w:lang w:val="fr"/>
        </w:rPr>
        <w:t> </w:t>
      </w:r>
      <w:r w:rsidRPr="00C31623">
        <w:rPr>
          <w:lang w:val="fr"/>
        </w:rPr>
        <w:t xml:space="preserve">; et iii) la création d’une plateforme sous-régionale de réglementation pour aider les pays à s’acquitter des fonctions essentielles de réglementation qu’ils ne peuvent assumer seuls, compte tenu notamment </w:t>
      </w:r>
      <w:r w:rsidRPr="00C31623">
        <w:rPr>
          <w:lang w:val="fr"/>
        </w:rPr>
        <w:lastRenderedPageBreak/>
        <w:t>de leurs ressources limitées. La participation à ce mécanisme, qui n’est pas destiné à remplacer les systèmes nationaux, serait volontaire au début.</w:t>
      </w:r>
    </w:p>
    <w:p w14:paraId="3B311990" w14:textId="0B663D8F" w:rsidR="00672AB8" w:rsidRPr="004B4B10" w:rsidRDefault="00672AB8">
      <w:pPr>
        <w:pStyle w:val="BodyText1"/>
        <w:ind w:firstLine="0"/>
        <w:jc w:val="lowKashida"/>
        <w:rPr>
          <w:rFonts w:eastAsia="Malgun Gothic"/>
          <w:szCs w:val="22"/>
          <w:lang w:val="fr-FR"/>
        </w:rPr>
      </w:pPr>
      <w:r w:rsidRPr="00C31623">
        <w:rPr>
          <w:rFonts w:eastAsia="Malgun Gothic"/>
          <w:lang w:val="fr"/>
        </w:rPr>
        <w:t xml:space="preserve">La plateforme </w:t>
      </w:r>
      <w:proofErr w:type="spellStart"/>
      <w:r w:rsidRPr="00C31623">
        <w:rPr>
          <w:rFonts w:eastAsia="Malgun Gothic"/>
          <w:lang w:val="fr"/>
        </w:rPr>
        <w:t>sous-régionale</w:t>
      </w:r>
      <w:proofErr w:type="spellEnd"/>
      <w:r w:rsidRPr="00C31623">
        <w:rPr>
          <w:rFonts w:eastAsia="Malgun Gothic"/>
          <w:lang w:val="fr"/>
        </w:rPr>
        <w:t xml:space="preserve"> de réglementation proposée pourrait servir de mécanisme reconnu par les pays insulaires du Pacifique pour</w:t>
      </w:r>
      <w:r w:rsidR="00825478" w:rsidRPr="00C31623">
        <w:rPr>
          <w:rFonts w:eastAsia="Malgun Gothic"/>
          <w:lang w:val="fr"/>
        </w:rPr>
        <w:t> </w:t>
      </w:r>
      <w:r w:rsidRPr="00C31623">
        <w:rPr>
          <w:rFonts w:eastAsia="Malgun Gothic"/>
          <w:lang w:val="fr"/>
        </w:rPr>
        <w:t>: i) renforcer les systèmes de réglementation</w:t>
      </w:r>
      <w:r w:rsidR="00825478" w:rsidRPr="00C31623">
        <w:rPr>
          <w:rFonts w:eastAsia="Malgun Gothic"/>
          <w:lang w:val="fr"/>
        </w:rPr>
        <w:t> </w:t>
      </w:r>
      <w:r w:rsidRPr="00C31623">
        <w:rPr>
          <w:rFonts w:eastAsia="Malgun Gothic"/>
          <w:lang w:val="fr"/>
        </w:rPr>
        <w:t xml:space="preserve">; et ii) partager l’information et développer les capacités. Elle pourrait permettre aux pays du Pacifique de coopérer à la réglementation des médicaments et des produits médicaux, de renforcer les mécanismes de recours et/ou les activités conjointes de réglementation et, ce faisant, de renforcer leurs propres systèmes de réglementation. Elle pourrait également être utilisée par les organes de réglementation du Pacifique pour </w:t>
      </w:r>
      <w:r w:rsidRPr="00C31623">
        <w:rPr>
          <w:rFonts w:eastAsia="Malgun Gothic"/>
          <w:szCs w:val="22"/>
          <w:lang w:val="fr"/>
        </w:rPr>
        <w:t>coordonner le partage de l’information et mobiliser l’appui d’organes de réglementation plus rigoureux aux fins d’apprentissage et de renforcement des capacités.</w:t>
      </w:r>
    </w:p>
    <w:p w14:paraId="65AE7404" w14:textId="792B4AA3" w:rsidR="00672AB8" w:rsidRPr="004B4B10" w:rsidRDefault="00672AB8" w:rsidP="007365EA">
      <w:pPr>
        <w:pStyle w:val="Heading1"/>
        <w:rPr>
          <w:lang w:val="fr-FR"/>
        </w:rPr>
      </w:pPr>
      <w:r>
        <w:rPr>
          <w:lang w:val="fr"/>
        </w:rPr>
        <w:t xml:space="preserve">3. </w:t>
      </w:r>
      <w:r w:rsidR="00140B35" w:rsidRPr="000C6C63">
        <w:rPr>
          <w:rFonts w:eastAsia="Malgun Gothic" w:cs="Times New Roman"/>
          <w:lang w:val="fr"/>
        </w:rPr>
        <w:t>ORIENTATIONS FUTURES</w:t>
      </w:r>
    </w:p>
    <w:p w14:paraId="1C36C395" w14:textId="28FC8486" w:rsidR="00314F96" w:rsidRPr="000D5CBF" w:rsidRDefault="00D80A75" w:rsidP="001F4096">
      <w:pPr>
        <w:pStyle w:val="BodyText1"/>
        <w:ind w:firstLine="0"/>
        <w:jc w:val="lowKashida"/>
        <w:rPr>
          <w:rFonts w:eastAsia="Malgun Gothic"/>
          <w:lang w:val="fr-FR"/>
        </w:rPr>
      </w:pPr>
      <w:r w:rsidRPr="000D5CBF">
        <w:rPr>
          <w:rFonts w:eastAsia="Malgun Gothic"/>
          <w:szCs w:val="22"/>
          <w:lang w:val="fr"/>
        </w:rPr>
        <w:t>Lors de la réunion de mars 2019, les pays insulaires du Pacifique ont reconnu</w:t>
      </w:r>
      <w:r w:rsidRPr="000D5CBF">
        <w:rPr>
          <w:rFonts w:eastAsia="Malgun Gothic"/>
          <w:lang w:val="fr"/>
        </w:rPr>
        <w:t xml:space="preserve"> que des systèmes de réglementation solides sont nécessaires pour assurer l’accès à des médicaments et à des produits médicaux de qualité garantie, sûrs et abordables et pour atteindre la CSU. Ils ont en outre reconnu que le renforcement des systèmes nationaux de réglementation passe par l’élaboration de la législation et la mise en place de structures de </w:t>
      </w:r>
      <w:r w:rsidR="00113858" w:rsidRPr="000D5CBF">
        <w:rPr>
          <w:rFonts w:eastAsia="Malgun Gothic"/>
          <w:lang w:val="fr"/>
        </w:rPr>
        <w:t>mise en œuvre</w:t>
      </w:r>
      <w:r w:rsidRPr="000D5CBF">
        <w:rPr>
          <w:rFonts w:eastAsia="Malgun Gothic"/>
          <w:lang w:val="fr"/>
        </w:rPr>
        <w:t xml:space="preserve"> et d’application des réglementations. Malheureusement, l’action au niveau national est limitée en raison de conflits de priorités en matière de santé, du manque de ressources financières et humaines et de la faiblesse des cadres législatifs. Ces défis au niveau national exigent des interventions opérationnelles quotidiennes ainsi qu’un appui opportun et soutenu au niveau sous-régional. Les pays insulaires du Pacifique ont reconnu qu’une approche sous-régionale pourra les aider à s’acquitter de leurs fonctions de réglementation.</w:t>
      </w:r>
    </w:p>
    <w:p w14:paraId="7BF9FA7A" w14:textId="5C71E51A" w:rsidR="00184189" w:rsidRPr="000D5CBF" w:rsidRDefault="00953C88" w:rsidP="007365EA">
      <w:pPr>
        <w:pStyle w:val="Heading2"/>
        <w:rPr>
          <w:lang w:val="fr-FR"/>
        </w:rPr>
      </w:pPr>
      <w:r w:rsidRPr="000D5CBF">
        <w:rPr>
          <w:lang w:val="fr-FR"/>
        </w:rPr>
        <w:t xml:space="preserve">3.1 </w:t>
      </w:r>
      <w:r w:rsidR="00FD063C" w:rsidRPr="000D5CBF">
        <w:rPr>
          <w:lang w:val="fr"/>
        </w:rPr>
        <w:t>Recommandations à l'intention des pouvoirs publics</w:t>
      </w:r>
    </w:p>
    <w:p w14:paraId="400B01DF" w14:textId="2483AD6B" w:rsidR="00672AB8" w:rsidRPr="000D5CBF" w:rsidRDefault="00FD063C" w:rsidP="001F4096">
      <w:pPr>
        <w:pStyle w:val="BodyText1"/>
        <w:ind w:firstLine="0"/>
        <w:jc w:val="lowKashida"/>
        <w:rPr>
          <w:rFonts w:eastAsia="Malgun Gothic"/>
          <w:szCs w:val="22"/>
          <w:lang w:val="fr-FR"/>
        </w:rPr>
      </w:pPr>
      <w:r w:rsidRPr="000D5CBF">
        <w:rPr>
          <w:rFonts w:eastAsia="Malgun Gothic"/>
          <w:lang w:val="fr"/>
        </w:rPr>
        <w:t xml:space="preserve">Les ministres de la santé pourraient envisager de </w:t>
      </w:r>
      <w:r w:rsidR="00953C88" w:rsidRPr="000D5CBF">
        <w:rPr>
          <w:rFonts w:eastAsia="Malgun Gothic"/>
          <w:szCs w:val="22"/>
          <w:lang w:val="fr-FR"/>
        </w:rPr>
        <w:t>:</w:t>
      </w:r>
    </w:p>
    <w:p w14:paraId="0153A30E" w14:textId="6C545536" w:rsidR="00672AB8" w:rsidRPr="000D5CBF" w:rsidRDefault="00672AB8" w:rsidP="007365EA">
      <w:pPr>
        <w:ind w:left="720" w:hanging="360"/>
        <w:rPr>
          <w:lang w:val="fr-FR"/>
        </w:rPr>
      </w:pPr>
      <w:r w:rsidRPr="000D5CBF">
        <w:rPr>
          <w:lang w:val="fr"/>
        </w:rPr>
        <w:t xml:space="preserve">1) </w:t>
      </w:r>
      <w:r w:rsidRPr="000D5CBF">
        <w:rPr>
          <w:lang w:val="fr"/>
        </w:rPr>
        <w:tab/>
        <w:t xml:space="preserve">recommander un soutien politique en faveur du renforcement global de la réglementation aux niveaux national et </w:t>
      </w:r>
      <w:proofErr w:type="spellStart"/>
      <w:r w:rsidRPr="000D5CBF">
        <w:rPr>
          <w:lang w:val="fr"/>
        </w:rPr>
        <w:t>sous-régional</w:t>
      </w:r>
      <w:proofErr w:type="spellEnd"/>
      <w:r w:rsidR="00825478" w:rsidRPr="000D5CBF">
        <w:rPr>
          <w:lang w:val="fr"/>
        </w:rPr>
        <w:t> </w:t>
      </w:r>
      <w:r w:rsidRPr="000D5CBF">
        <w:rPr>
          <w:lang w:val="fr"/>
        </w:rPr>
        <w:t>;</w:t>
      </w:r>
    </w:p>
    <w:p w14:paraId="00A2F7CD" w14:textId="7A55F6A5" w:rsidR="00672AB8" w:rsidRPr="000D5CBF" w:rsidRDefault="00672AB8" w:rsidP="007365EA">
      <w:pPr>
        <w:ind w:left="720" w:hanging="360"/>
        <w:rPr>
          <w:lang w:val="fr-FR"/>
        </w:rPr>
      </w:pPr>
      <w:r w:rsidRPr="000D5CBF">
        <w:rPr>
          <w:lang w:val="fr"/>
        </w:rPr>
        <w:t xml:space="preserve">2) </w:t>
      </w:r>
      <w:r w:rsidRPr="000D5CBF">
        <w:rPr>
          <w:lang w:val="fr"/>
        </w:rPr>
        <w:tab/>
        <w:t xml:space="preserve">mettre en place une plateforme </w:t>
      </w:r>
      <w:proofErr w:type="spellStart"/>
      <w:r w:rsidRPr="000D5CBF">
        <w:rPr>
          <w:lang w:val="fr"/>
        </w:rPr>
        <w:t>sous-régionale</w:t>
      </w:r>
      <w:proofErr w:type="spellEnd"/>
      <w:r w:rsidRPr="000D5CBF">
        <w:rPr>
          <w:lang w:val="fr"/>
        </w:rPr>
        <w:t xml:space="preserve"> pour</w:t>
      </w:r>
      <w:r w:rsidR="00825478" w:rsidRPr="000D5CBF">
        <w:rPr>
          <w:lang w:val="fr"/>
        </w:rPr>
        <w:t> </w:t>
      </w:r>
      <w:r w:rsidRPr="000D5CBF">
        <w:rPr>
          <w:lang w:val="fr"/>
        </w:rPr>
        <w:t>:</w:t>
      </w:r>
    </w:p>
    <w:p w14:paraId="0709314B" w14:textId="4EE405B6" w:rsidR="00672AB8" w:rsidRPr="000D5CBF" w:rsidRDefault="005B1CB0" w:rsidP="009A3774">
      <w:pPr>
        <w:pStyle w:val="BodyText1"/>
        <w:numPr>
          <w:ilvl w:val="0"/>
          <w:numId w:val="49"/>
        </w:numPr>
        <w:spacing w:after="120"/>
        <w:jc w:val="lowKashida"/>
        <w:rPr>
          <w:rFonts w:eastAsia="Malgun Gothic"/>
          <w:szCs w:val="22"/>
          <w:lang w:val="fr-FR"/>
        </w:rPr>
      </w:pPr>
      <w:r w:rsidRPr="000D5CBF">
        <w:rPr>
          <w:rFonts w:eastAsia="Malgun Gothic"/>
          <w:szCs w:val="22"/>
          <w:lang w:val="fr"/>
        </w:rPr>
        <w:t>établir un mécanisme de gouvernance pharmaceutique devant appuyer l’élaboration d’une réglementation exhaustive dans la sous-région</w:t>
      </w:r>
      <w:r w:rsidR="00825478" w:rsidRPr="000D5CBF">
        <w:rPr>
          <w:rFonts w:eastAsia="Malgun Gothic"/>
          <w:szCs w:val="22"/>
          <w:lang w:val="fr"/>
        </w:rPr>
        <w:t> </w:t>
      </w:r>
      <w:r w:rsidRPr="000D5CBF">
        <w:rPr>
          <w:rFonts w:eastAsia="Malgun Gothic"/>
          <w:szCs w:val="22"/>
          <w:lang w:val="fr"/>
        </w:rPr>
        <w:t>;</w:t>
      </w:r>
    </w:p>
    <w:p w14:paraId="06B4C39B" w14:textId="1CBBF501" w:rsidR="00672AB8" w:rsidRPr="000D5CBF" w:rsidRDefault="005B1CB0" w:rsidP="009A3774">
      <w:pPr>
        <w:pStyle w:val="BodyText1"/>
        <w:numPr>
          <w:ilvl w:val="0"/>
          <w:numId w:val="49"/>
        </w:numPr>
        <w:spacing w:after="120"/>
        <w:jc w:val="lowKashida"/>
        <w:rPr>
          <w:rFonts w:eastAsia="Malgun Gothic"/>
          <w:szCs w:val="22"/>
          <w:lang w:val="fr-FR"/>
        </w:rPr>
      </w:pPr>
      <w:r w:rsidRPr="000D5CBF">
        <w:rPr>
          <w:rFonts w:eastAsia="Malgun Gothic"/>
          <w:szCs w:val="22"/>
          <w:lang w:val="fr"/>
        </w:rPr>
        <w:t xml:space="preserve">par l’intermédiaire du mécanisme de gouvernance pharmaceutique du Pacifique, étudier les plateformes régionales et internationales de réglementation, en collaboration avec les </w:t>
      </w:r>
      <w:r w:rsidRPr="000D5CBF">
        <w:rPr>
          <w:rFonts w:eastAsia="Malgun Gothic"/>
          <w:szCs w:val="22"/>
          <w:lang w:val="fr"/>
        </w:rPr>
        <w:lastRenderedPageBreak/>
        <w:t>partenaires de développement, susceptibles de fournir un appui stratégique au système de réglementation du Pacifique</w:t>
      </w:r>
      <w:r w:rsidR="00825478" w:rsidRPr="000D5CBF">
        <w:rPr>
          <w:rFonts w:eastAsia="Malgun Gothic"/>
          <w:szCs w:val="22"/>
          <w:lang w:val="fr"/>
        </w:rPr>
        <w:t> </w:t>
      </w:r>
      <w:r w:rsidRPr="000D5CBF">
        <w:rPr>
          <w:rFonts w:eastAsia="Malgun Gothic"/>
          <w:szCs w:val="22"/>
          <w:lang w:val="fr"/>
        </w:rPr>
        <w:t>;</w:t>
      </w:r>
    </w:p>
    <w:p w14:paraId="5FC0C2BB" w14:textId="71B2F1B0" w:rsidR="00672AB8" w:rsidRPr="000D5CBF" w:rsidRDefault="005B1CB0" w:rsidP="009A3774">
      <w:pPr>
        <w:pStyle w:val="BodyText1"/>
        <w:numPr>
          <w:ilvl w:val="0"/>
          <w:numId w:val="49"/>
        </w:numPr>
        <w:spacing w:after="120"/>
        <w:jc w:val="lowKashida"/>
        <w:rPr>
          <w:rFonts w:eastAsia="Malgun Gothic"/>
          <w:szCs w:val="22"/>
          <w:lang w:val="fr-FR"/>
        </w:rPr>
      </w:pPr>
      <w:r w:rsidRPr="000D5CBF">
        <w:rPr>
          <w:rFonts w:eastAsia="Malgun Gothic"/>
          <w:szCs w:val="22"/>
          <w:lang w:val="fr"/>
        </w:rPr>
        <w:t>aider les pays à élaborer des systèmes nationaux de réglementation appuyés par un cadre législatif approprié, y compris l’identification des priorités à court, moyen et long terme</w:t>
      </w:r>
      <w:r w:rsidR="00825478" w:rsidRPr="000D5CBF">
        <w:rPr>
          <w:rFonts w:eastAsia="Malgun Gothic"/>
          <w:szCs w:val="22"/>
          <w:lang w:val="fr"/>
        </w:rPr>
        <w:t> </w:t>
      </w:r>
      <w:r w:rsidRPr="000D5CBF">
        <w:rPr>
          <w:rFonts w:eastAsia="Malgun Gothic"/>
          <w:szCs w:val="22"/>
          <w:lang w:val="fr"/>
        </w:rPr>
        <w:t>;</w:t>
      </w:r>
    </w:p>
    <w:p w14:paraId="00FB743C" w14:textId="78EEF454" w:rsidR="00672AB8" w:rsidRPr="000D5CBF" w:rsidRDefault="005B1CB0" w:rsidP="009A3774">
      <w:pPr>
        <w:pStyle w:val="BodyText1"/>
        <w:numPr>
          <w:ilvl w:val="0"/>
          <w:numId w:val="49"/>
        </w:numPr>
        <w:spacing w:after="120"/>
        <w:jc w:val="lowKashida"/>
        <w:rPr>
          <w:rFonts w:eastAsia="Malgun Gothic"/>
          <w:szCs w:val="22"/>
          <w:lang w:val="fr-FR"/>
        </w:rPr>
      </w:pPr>
      <w:r w:rsidRPr="000D5CBF">
        <w:rPr>
          <w:rFonts w:eastAsia="Malgun Gothic"/>
          <w:szCs w:val="22"/>
          <w:lang w:val="fr"/>
        </w:rPr>
        <w:t>faciliter le renforcement des capacités, l’établissement de normes, l’échange d’informations et le développement des ressources humaines à court et à long terme</w:t>
      </w:r>
      <w:r w:rsidR="00825478" w:rsidRPr="000D5CBF">
        <w:rPr>
          <w:rFonts w:eastAsia="Malgun Gothic"/>
          <w:szCs w:val="22"/>
          <w:lang w:val="fr"/>
        </w:rPr>
        <w:t> </w:t>
      </w:r>
      <w:r w:rsidRPr="000D5CBF">
        <w:rPr>
          <w:rFonts w:eastAsia="Malgun Gothic"/>
          <w:szCs w:val="22"/>
          <w:lang w:val="fr"/>
        </w:rPr>
        <w:t>;</w:t>
      </w:r>
    </w:p>
    <w:p w14:paraId="22111BEE" w14:textId="0220436A" w:rsidR="00184189" w:rsidRPr="000D5CBF" w:rsidRDefault="005B1CB0" w:rsidP="009A3774">
      <w:pPr>
        <w:pStyle w:val="BodyText1"/>
        <w:numPr>
          <w:ilvl w:val="0"/>
          <w:numId w:val="49"/>
        </w:numPr>
        <w:spacing w:after="120"/>
        <w:jc w:val="lowKashida"/>
        <w:rPr>
          <w:rFonts w:eastAsia="Malgun Gothic"/>
          <w:szCs w:val="22"/>
          <w:lang w:val="fr-FR"/>
        </w:rPr>
      </w:pPr>
      <w:r w:rsidRPr="000D5CBF">
        <w:rPr>
          <w:rFonts w:eastAsia="Malgun Gothic"/>
          <w:lang w:val="fr"/>
        </w:rPr>
        <w:t>aider les pays à officialiser, à renforcer et à exécuter des fonctions essentielles de réglementation telles que : l’agrément des établissements, l’homologation des produits, l’assurance de la qualité, la surveillance après la mise sur le marché, la pharmacovigilance, le rappel et le retrait</w:t>
      </w:r>
      <w:r w:rsidR="00825478" w:rsidRPr="000D5CBF">
        <w:rPr>
          <w:rFonts w:eastAsia="Malgun Gothic"/>
          <w:lang w:val="fr"/>
        </w:rPr>
        <w:t> </w:t>
      </w:r>
      <w:r w:rsidRPr="000D5CBF">
        <w:rPr>
          <w:rFonts w:eastAsia="Malgun Gothic"/>
          <w:lang w:val="fr"/>
        </w:rPr>
        <w:t>; et</w:t>
      </w:r>
    </w:p>
    <w:p w14:paraId="0569413F" w14:textId="6B7147E7" w:rsidR="00E753DE" w:rsidRPr="000D5CBF" w:rsidRDefault="005B1CB0" w:rsidP="007365EA">
      <w:pPr>
        <w:pStyle w:val="BodyText1"/>
        <w:numPr>
          <w:ilvl w:val="0"/>
          <w:numId w:val="49"/>
        </w:numPr>
        <w:jc w:val="lowKashida"/>
        <w:rPr>
          <w:rFonts w:eastAsia="Malgun Gothic"/>
          <w:szCs w:val="22"/>
          <w:lang w:val="fr-FR"/>
        </w:rPr>
      </w:pPr>
      <w:r w:rsidRPr="000D5CBF">
        <w:rPr>
          <w:rFonts w:eastAsia="Malgun Gothic"/>
          <w:szCs w:val="22"/>
          <w:lang w:val="fr"/>
        </w:rPr>
        <w:t xml:space="preserve">prodiguer des conseils au jour le jour sur les questions pharmaceutiques et réglementaires. </w:t>
      </w:r>
    </w:p>
    <w:p w14:paraId="31F8C1D0" w14:textId="0CB349A3" w:rsidR="00953C88" w:rsidRPr="000D5CBF" w:rsidRDefault="00953C88" w:rsidP="007365EA">
      <w:pPr>
        <w:pStyle w:val="Heading2"/>
        <w:rPr>
          <w:lang w:val="fr-FR"/>
        </w:rPr>
      </w:pPr>
      <w:r w:rsidRPr="000D5CBF">
        <w:rPr>
          <w:lang w:val="fr"/>
        </w:rPr>
        <w:t xml:space="preserve">3.2 </w:t>
      </w:r>
      <w:r w:rsidR="007C2AC5" w:rsidRPr="000D5CBF">
        <w:rPr>
          <w:lang w:val="fr"/>
        </w:rPr>
        <w:t>Recommandations à l'intention des partenaires de développement</w:t>
      </w:r>
    </w:p>
    <w:p w14:paraId="63EF833C" w14:textId="79F2EE63" w:rsidR="00511166" w:rsidRPr="000D5CBF" w:rsidRDefault="00B60FAE" w:rsidP="00B60FAE">
      <w:pPr>
        <w:pStyle w:val="BodyText1"/>
        <w:tabs>
          <w:tab w:val="clear" w:pos="0"/>
        </w:tabs>
        <w:ind w:left="720" w:hanging="360"/>
        <w:jc w:val="lowKashida"/>
        <w:rPr>
          <w:rFonts w:eastAsia="Malgun Gothic"/>
          <w:szCs w:val="22"/>
          <w:lang w:val="fr-FR"/>
        </w:rPr>
      </w:pPr>
      <w:r w:rsidRPr="000D5CBF">
        <w:rPr>
          <w:rFonts w:eastAsia="Malgun Gothic"/>
          <w:lang w:val="fr"/>
        </w:rPr>
        <w:t xml:space="preserve"> </w:t>
      </w:r>
      <w:r w:rsidRPr="000D5CBF">
        <w:rPr>
          <w:rFonts w:eastAsia="Malgun Gothic"/>
          <w:szCs w:val="22"/>
          <w:lang w:val="fr"/>
        </w:rPr>
        <w:t>1)</w:t>
      </w:r>
      <w:r w:rsidRPr="000D5CBF">
        <w:rPr>
          <w:rFonts w:eastAsia="Malgun Gothic"/>
          <w:szCs w:val="22"/>
          <w:lang w:val="fr"/>
        </w:rPr>
        <w:tab/>
        <w:t>L’OMS, en collaboration avec la Communauté du Pacifique (CPS), est invitée à donner suite aux recommandations concernant l’approche sous-régionale proposée visant à renforcer la réglementation des médicaments et à soumettre la question à l’examen des prochaines réunions des directeurs de la santé et des ministres de la Santé du Pacifique.</w:t>
      </w:r>
    </w:p>
    <w:p w14:paraId="768A8BA1" w14:textId="1760093F" w:rsidR="00511166" w:rsidRPr="000D5CBF" w:rsidRDefault="00511166" w:rsidP="00B60FAE">
      <w:pPr>
        <w:pStyle w:val="BodyText1"/>
        <w:tabs>
          <w:tab w:val="clear" w:pos="0"/>
        </w:tabs>
        <w:ind w:left="720" w:hanging="360"/>
        <w:jc w:val="lowKashida"/>
        <w:rPr>
          <w:rFonts w:eastAsia="Malgun Gothic"/>
          <w:szCs w:val="22"/>
          <w:lang w:val="fr-FR"/>
        </w:rPr>
      </w:pPr>
      <w:r w:rsidRPr="000D5CBF">
        <w:rPr>
          <w:rFonts w:eastAsia="Malgun Gothic"/>
          <w:szCs w:val="22"/>
          <w:lang w:val="fr"/>
        </w:rPr>
        <w:t>2)</w:t>
      </w:r>
      <w:r w:rsidRPr="000D5CBF">
        <w:rPr>
          <w:rFonts w:eastAsia="Malgun Gothic"/>
          <w:szCs w:val="22"/>
          <w:lang w:val="fr"/>
        </w:rPr>
        <w:tab/>
        <w:t xml:space="preserve">L’OMS et les partenaires de développement sont invités à établir le cahier des charges de la plateforme </w:t>
      </w:r>
      <w:proofErr w:type="spellStart"/>
      <w:r w:rsidRPr="000D5CBF">
        <w:rPr>
          <w:rFonts w:eastAsia="Malgun Gothic"/>
          <w:szCs w:val="22"/>
          <w:lang w:val="fr"/>
        </w:rPr>
        <w:t>sous-régionale</w:t>
      </w:r>
      <w:proofErr w:type="spellEnd"/>
      <w:r w:rsidRPr="000D5CBF">
        <w:rPr>
          <w:rFonts w:eastAsia="Malgun Gothic"/>
          <w:szCs w:val="22"/>
          <w:lang w:val="fr"/>
        </w:rPr>
        <w:t xml:space="preserve"> proposée.</w:t>
      </w:r>
    </w:p>
    <w:p w14:paraId="3C1BA2D7" w14:textId="5A4F6FA8" w:rsidR="00511166" w:rsidRPr="004B4B10" w:rsidRDefault="00511166" w:rsidP="007365EA">
      <w:pPr>
        <w:pStyle w:val="BodyText1"/>
        <w:tabs>
          <w:tab w:val="clear" w:pos="0"/>
        </w:tabs>
        <w:ind w:left="720" w:hanging="360"/>
        <w:jc w:val="lowKashida"/>
        <w:rPr>
          <w:rFonts w:eastAsia="Malgun Gothic"/>
          <w:szCs w:val="22"/>
          <w:lang w:val="fr-FR"/>
        </w:rPr>
      </w:pPr>
      <w:r w:rsidRPr="000D5CBF">
        <w:rPr>
          <w:rFonts w:eastAsia="Malgun Gothic"/>
          <w:szCs w:val="22"/>
          <w:lang w:val="fr"/>
        </w:rPr>
        <w:t>3)</w:t>
      </w:r>
      <w:r w:rsidRPr="000D5CBF">
        <w:rPr>
          <w:rFonts w:eastAsia="Malgun Gothic"/>
          <w:szCs w:val="22"/>
          <w:lang w:val="fr"/>
        </w:rPr>
        <w:tab/>
        <w:t>L’OMS est invitée à établir des liens avec le système de réglementation des Caraïbes (CRS) et d’autres partenaires.</w:t>
      </w:r>
    </w:p>
    <w:sectPr w:rsidR="00511166" w:rsidRPr="004B4B10" w:rsidSect="007608DB">
      <w:headerReference w:type="even" r:id="rId15"/>
      <w:headerReference w:type="default" r:id="rId16"/>
      <w:headerReference w:type="first" r:id="rId17"/>
      <w:footerReference w:type="first" r:id="rId18"/>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2FD8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2FD8A2" w16cid:durableId="20A76A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63684" w14:textId="77777777" w:rsidR="00973F7C" w:rsidRDefault="00973F7C" w:rsidP="00DC6979">
      <w:pPr>
        <w:spacing w:after="0" w:line="240" w:lineRule="auto"/>
      </w:pPr>
      <w:r>
        <w:separator/>
      </w:r>
    </w:p>
  </w:endnote>
  <w:endnote w:type="continuationSeparator" w:id="0">
    <w:p w14:paraId="3876DAE0" w14:textId="77777777" w:rsidR="00973F7C" w:rsidRDefault="00973F7C"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C71AD" w14:textId="77777777" w:rsidR="009962E7" w:rsidRDefault="009962E7" w:rsidP="00BD60F7">
    <w:pPr>
      <w:pStyle w:val="Footer"/>
      <w:pBdr>
        <w:top w:val="single" w:sz="4" w:space="1" w:color="D9D9D9" w:themeColor="background1" w:themeShade="D9"/>
      </w:pBdr>
      <w:rPr>
        <w:b/>
        <w:bCs/>
      </w:rPr>
    </w:pPr>
  </w:p>
  <w:p w14:paraId="18C1E227" w14:textId="77777777" w:rsidR="009962E7" w:rsidRDefault="009962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B2452A" w14:textId="77777777" w:rsidR="00973F7C" w:rsidRDefault="00973F7C" w:rsidP="00DC6979">
      <w:pPr>
        <w:spacing w:after="0" w:line="240" w:lineRule="auto"/>
      </w:pPr>
      <w:r>
        <w:separator/>
      </w:r>
    </w:p>
  </w:footnote>
  <w:footnote w:type="continuationSeparator" w:id="0">
    <w:p w14:paraId="19E54058" w14:textId="77777777" w:rsidR="00973F7C" w:rsidRDefault="00973F7C"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782A8" w14:textId="3750C5AF" w:rsidR="009962E7" w:rsidRPr="007608DB" w:rsidRDefault="009962E7" w:rsidP="00BD60F7">
    <w:pPr>
      <w:pStyle w:val="Header"/>
      <w:rPr>
        <w:rFonts w:asciiTheme="majorBidi" w:hAnsiTheme="majorBidi" w:cstheme="majorBidi"/>
        <w:b/>
        <w:bCs/>
      </w:rPr>
    </w:pPr>
    <w:r>
      <w:rPr>
        <w:rFonts w:asciiTheme="majorBidi" w:hAnsiTheme="majorBidi" w:cstheme="majorBidi"/>
        <w:b/>
        <w:bCs/>
        <w:lang w:val="fr"/>
      </w:rPr>
      <w:t>PIC13/</w:t>
    </w:r>
    <w:r w:rsidR="006B408D">
      <w:rPr>
        <w:rFonts w:asciiTheme="majorBidi" w:hAnsiTheme="majorBidi" w:cstheme="majorBidi"/>
        <w:b/>
        <w:bCs/>
        <w:lang w:val="fr"/>
      </w:rPr>
      <w:t>S7/4</w:t>
    </w:r>
  </w:p>
  <w:p w14:paraId="372C3EFF" w14:textId="77777777" w:rsidR="009962E7" w:rsidRDefault="009962E7" w:rsidP="00BD60F7">
    <w:pPr>
      <w:pStyle w:val="Header"/>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xml:space="preserve">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6B408D">
      <w:rPr>
        <w:rFonts w:asciiTheme="majorBidi" w:hAnsiTheme="majorBidi" w:cstheme="majorBidi"/>
        <w:b/>
        <w:bCs/>
        <w:noProof/>
        <w:lang w:val="fr"/>
      </w:rPr>
      <w:t>2</w:t>
    </w:r>
    <w:r>
      <w:rPr>
        <w:rFonts w:asciiTheme="majorBidi" w:hAnsiTheme="majorBidi" w:cstheme="majorBidi"/>
        <w:noProof/>
        <w:lang w:val="fr"/>
      </w:rPr>
      <w:fldChar w:fldCharType="end"/>
    </w:r>
  </w:p>
  <w:p w14:paraId="37799FEB" w14:textId="77777777" w:rsidR="009962E7" w:rsidRDefault="009962E7" w:rsidP="00BD60F7">
    <w:pPr>
      <w:pStyle w:val="Header"/>
      <w:rPr>
        <w:rFonts w:asciiTheme="majorBidi" w:hAnsiTheme="majorBidi" w:cstheme="majorBidi"/>
        <w:b/>
        <w:bCs/>
        <w:noProof/>
      </w:rPr>
    </w:pPr>
  </w:p>
  <w:p w14:paraId="4FF8C7B2" w14:textId="77777777" w:rsidR="009962E7" w:rsidRPr="007608DB" w:rsidRDefault="009962E7"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9F588" w14:textId="25DFFE2B" w:rsidR="009962E7" w:rsidRPr="007608DB" w:rsidRDefault="006B408D" w:rsidP="00BD60F7">
    <w:pPr>
      <w:pStyle w:val="Header"/>
      <w:jc w:val="right"/>
      <w:rPr>
        <w:rFonts w:asciiTheme="majorBidi" w:hAnsiTheme="majorBidi" w:cstheme="majorBidi"/>
        <w:b/>
        <w:bCs/>
      </w:rPr>
    </w:pPr>
    <w:r>
      <w:rPr>
        <w:rFonts w:asciiTheme="majorBidi" w:hAnsiTheme="majorBidi" w:cstheme="majorBidi"/>
        <w:b/>
        <w:bCs/>
        <w:lang w:val="fr"/>
      </w:rPr>
      <w:t>PIC13/S7/4</w:t>
    </w:r>
  </w:p>
  <w:p w14:paraId="158D3ECC" w14:textId="2AC6E797" w:rsidR="009962E7" w:rsidRDefault="009962E7" w:rsidP="00BD60F7">
    <w:pPr>
      <w:pStyle w:val="Header"/>
      <w:jc w:val="right"/>
      <w:rPr>
        <w:rFonts w:asciiTheme="majorBidi" w:hAnsiTheme="majorBidi" w:cstheme="majorBidi"/>
        <w:b/>
        <w:bCs/>
        <w:noProof/>
      </w:rPr>
    </w:pPr>
    <w:proofErr w:type="gramStart"/>
    <w:r>
      <w:rPr>
        <w:rFonts w:asciiTheme="majorBidi" w:hAnsiTheme="majorBidi" w:cstheme="majorBidi"/>
        <w:b/>
        <w:bCs/>
        <w:lang w:val="fr"/>
      </w:rPr>
      <w:t>page</w:t>
    </w:r>
    <w:proofErr w:type="gramEnd"/>
    <w:r w:rsidR="00825478">
      <w:rPr>
        <w:rFonts w:asciiTheme="majorBidi" w:hAnsiTheme="majorBidi" w:cstheme="majorBidi"/>
        <w:b/>
        <w:bCs/>
        <w:lang w:val="fr"/>
      </w:rPr>
      <w:t>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6B408D">
      <w:rPr>
        <w:rFonts w:asciiTheme="majorBidi" w:hAnsiTheme="majorBidi" w:cstheme="majorBidi"/>
        <w:b/>
        <w:bCs/>
        <w:noProof/>
        <w:lang w:val="fr"/>
      </w:rPr>
      <w:t>3</w:t>
    </w:r>
    <w:r>
      <w:rPr>
        <w:rFonts w:asciiTheme="majorBidi" w:hAnsiTheme="majorBidi" w:cstheme="majorBidi"/>
        <w:noProof/>
        <w:lang w:val="fr"/>
      </w:rPr>
      <w:fldChar w:fldCharType="end"/>
    </w:r>
  </w:p>
  <w:p w14:paraId="66AECA29" w14:textId="77777777" w:rsidR="009962E7" w:rsidRDefault="009962E7" w:rsidP="00BD60F7">
    <w:pPr>
      <w:pStyle w:val="Header"/>
      <w:jc w:val="right"/>
      <w:rPr>
        <w:rFonts w:asciiTheme="majorBidi" w:hAnsiTheme="majorBidi" w:cstheme="majorBidi"/>
        <w:b/>
        <w:bCs/>
        <w:noProof/>
      </w:rPr>
    </w:pPr>
  </w:p>
  <w:p w14:paraId="5A8E6D9F" w14:textId="77777777" w:rsidR="009962E7" w:rsidRPr="007608DB" w:rsidRDefault="009962E7"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DBBE0" w14:textId="464D2F94" w:rsidR="006B408D" w:rsidRDefault="006B408D" w:rsidP="006B408D">
    <w:pPr>
      <w:pStyle w:val="Header"/>
      <w:jc w:val="center"/>
    </w:pPr>
    <w:r>
      <w:rPr>
        <w:noProof/>
        <w:lang w:val="en-US" w:eastAsia="en-US"/>
      </w:rPr>
      <w:drawing>
        <wp:inline distT="0" distB="0" distL="0" distR="0" wp14:anchorId="1A272B3E" wp14:editId="6BB2A145">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5FB73BB"/>
    <w:multiLevelType w:val="hybridMultilevel"/>
    <w:tmpl w:val="2836E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9">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4">
    <w:nsid w:val="28254C68"/>
    <w:multiLevelType w:val="hybridMultilevel"/>
    <w:tmpl w:val="E86ADCAC"/>
    <w:lvl w:ilvl="0" w:tplc="D0CEE3AC">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033319"/>
    <w:multiLevelType w:val="hybridMultilevel"/>
    <w:tmpl w:val="565A4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35C57C2C"/>
    <w:multiLevelType w:val="hybridMultilevel"/>
    <w:tmpl w:val="15688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4A6BC3"/>
    <w:multiLevelType w:val="hybridMultilevel"/>
    <w:tmpl w:val="3998D310"/>
    <w:lvl w:ilvl="0" w:tplc="966C233C">
      <w:start w:val="6"/>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2A1B53"/>
    <w:multiLevelType w:val="hybridMultilevel"/>
    <w:tmpl w:val="0298C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30">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7D6811"/>
    <w:multiLevelType w:val="hybridMultilevel"/>
    <w:tmpl w:val="29CA7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670567A"/>
    <w:multiLevelType w:val="hybridMultilevel"/>
    <w:tmpl w:val="91D645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0">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E325002"/>
    <w:multiLevelType w:val="hybridMultilevel"/>
    <w:tmpl w:val="564E651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42770A"/>
    <w:multiLevelType w:val="hybridMultilevel"/>
    <w:tmpl w:val="1F9E64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45"/>
  </w:num>
  <w:num w:numId="3">
    <w:abstractNumId w:val="49"/>
  </w:num>
  <w:num w:numId="4">
    <w:abstractNumId w:val="38"/>
  </w:num>
  <w:num w:numId="5">
    <w:abstractNumId w:val="7"/>
  </w:num>
  <w:num w:numId="6">
    <w:abstractNumId w:val="30"/>
  </w:num>
  <w:num w:numId="7">
    <w:abstractNumId w:val="39"/>
  </w:num>
  <w:num w:numId="8">
    <w:abstractNumId w:val="2"/>
  </w:num>
  <w:num w:numId="9">
    <w:abstractNumId w:val="0"/>
  </w:num>
  <w:num w:numId="10">
    <w:abstractNumId w:val="13"/>
  </w:num>
  <w:num w:numId="11">
    <w:abstractNumId w:val="25"/>
  </w:num>
  <w:num w:numId="12">
    <w:abstractNumId w:val="20"/>
  </w:num>
  <w:num w:numId="13">
    <w:abstractNumId w:val="37"/>
  </w:num>
  <w:num w:numId="14">
    <w:abstractNumId w:val="10"/>
  </w:num>
  <w:num w:numId="15">
    <w:abstractNumId w:val="8"/>
  </w:num>
  <w:num w:numId="16">
    <w:abstractNumId w:val="15"/>
  </w:num>
  <w:num w:numId="17">
    <w:abstractNumId w:val="31"/>
  </w:num>
  <w:num w:numId="18">
    <w:abstractNumId w:val="34"/>
  </w:num>
  <w:num w:numId="19">
    <w:abstractNumId w:val="36"/>
  </w:num>
  <w:num w:numId="20">
    <w:abstractNumId w:val="1"/>
  </w:num>
  <w:num w:numId="21">
    <w:abstractNumId w:val="44"/>
  </w:num>
  <w:num w:numId="22">
    <w:abstractNumId w:val="40"/>
  </w:num>
  <w:num w:numId="23">
    <w:abstractNumId w:val="17"/>
  </w:num>
  <w:num w:numId="24">
    <w:abstractNumId w:val="35"/>
  </w:num>
  <w:num w:numId="25">
    <w:abstractNumId w:val="9"/>
  </w:num>
  <w:num w:numId="26">
    <w:abstractNumId w:val="4"/>
  </w:num>
  <w:num w:numId="27">
    <w:abstractNumId w:val="43"/>
  </w:num>
  <w:num w:numId="28">
    <w:abstractNumId w:val="12"/>
  </w:num>
  <w:num w:numId="29">
    <w:abstractNumId w:val="21"/>
  </w:num>
  <w:num w:numId="30">
    <w:abstractNumId w:val="5"/>
  </w:num>
  <w:num w:numId="31">
    <w:abstractNumId w:val="11"/>
  </w:num>
  <w:num w:numId="32">
    <w:abstractNumId w:val="26"/>
  </w:num>
  <w:num w:numId="33">
    <w:abstractNumId w:val="3"/>
  </w:num>
  <w:num w:numId="34">
    <w:abstractNumId w:val="42"/>
  </w:num>
  <w:num w:numId="35">
    <w:abstractNumId w:val="48"/>
  </w:num>
  <w:num w:numId="36">
    <w:abstractNumId w:val="22"/>
  </w:num>
  <w:num w:numId="37">
    <w:abstractNumId w:val="29"/>
  </w:num>
  <w:num w:numId="38">
    <w:abstractNumId w:val="27"/>
  </w:num>
  <w:num w:numId="39">
    <w:abstractNumId w:val="28"/>
  </w:num>
  <w:num w:numId="40">
    <w:abstractNumId w:val="46"/>
  </w:num>
  <w:num w:numId="41">
    <w:abstractNumId w:val="14"/>
  </w:num>
  <w:num w:numId="42">
    <w:abstractNumId w:val="32"/>
  </w:num>
  <w:num w:numId="43">
    <w:abstractNumId w:val="33"/>
  </w:num>
  <w:num w:numId="44">
    <w:abstractNumId w:val="19"/>
  </w:num>
  <w:num w:numId="45">
    <w:abstractNumId w:val="6"/>
  </w:num>
  <w:num w:numId="46">
    <w:abstractNumId w:val="16"/>
  </w:num>
  <w:num w:numId="47">
    <w:abstractNumId w:val="24"/>
  </w:num>
  <w:num w:numId="48">
    <w:abstractNumId w:val="47"/>
  </w:num>
  <w:num w:numId="49">
    <w:abstractNumId w:val="41"/>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5"/>
  <w:proofState w:spelling="clean" w:grammar="clean"/>
  <w:defaultTabStop w:val="720"/>
  <w:hyphenationZone w:val="425"/>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12757"/>
    <w:rsid w:val="00021180"/>
    <w:rsid w:val="000212BC"/>
    <w:rsid w:val="00021611"/>
    <w:rsid w:val="00027ACD"/>
    <w:rsid w:val="000318C7"/>
    <w:rsid w:val="000330E5"/>
    <w:rsid w:val="000357A1"/>
    <w:rsid w:val="00043406"/>
    <w:rsid w:val="0004524D"/>
    <w:rsid w:val="0004739D"/>
    <w:rsid w:val="00050D18"/>
    <w:rsid w:val="00051326"/>
    <w:rsid w:val="000517AC"/>
    <w:rsid w:val="00053881"/>
    <w:rsid w:val="00053FDA"/>
    <w:rsid w:val="0005758A"/>
    <w:rsid w:val="00057746"/>
    <w:rsid w:val="000609B3"/>
    <w:rsid w:val="000622A3"/>
    <w:rsid w:val="0006351E"/>
    <w:rsid w:val="00063FDB"/>
    <w:rsid w:val="000646B3"/>
    <w:rsid w:val="00065A23"/>
    <w:rsid w:val="00066F0F"/>
    <w:rsid w:val="00070C77"/>
    <w:rsid w:val="0007106D"/>
    <w:rsid w:val="00072074"/>
    <w:rsid w:val="0007551E"/>
    <w:rsid w:val="00075B2E"/>
    <w:rsid w:val="00080A86"/>
    <w:rsid w:val="00080E73"/>
    <w:rsid w:val="00081EEF"/>
    <w:rsid w:val="00085516"/>
    <w:rsid w:val="0008603A"/>
    <w:rsid w:val="000865E3"/>
    <w:rsid w:val="00090851"/>
    <w:rsid w:val="00091380"/>
    <w:rsid w:val="00091DC6"/>
    <w:rsid w:val="000940E0"/>
    <w:rsid w:val="0009537E"/>
    <w:rsid w:val="000964EF"/>
    <w:rsid w:val="000A1838"/>
    <w:rsid w:val="000A3107"/>
    <w:rsid w:val="000A4CC5"/>
    <w:rsid w:val="000A6500"/>
    <w:rsid w:val="000A7661"/>
    <w:rsid w:val="000B07B4"/>
    <w:rsid w:val="000B22EA"/>
    <w:rsid w:val="000B27B4"/>
    <w:rsid w:val="000B2BA4"/>
    <w:rsid w:val="000B3376"/>
    <w:rsid w:val="000B683B"/>
    <w:rsid w:val="000C441F"/>
    <w:rsid w:val="000C617B"/>
    <w:rsid w:val="000C6336"/>
    <w:rsid w:val="000D032C"/>
    <w:rsid w:val="000D16F5"/>
    <w:rsid w:val="000D1AFE"/>
    <w:rsid w:val="000D28B0"/>
    <w:rsid w:val="000D4B86"/>
    <w:rsid w:val="000D5CBF"/>
    <w:rsid w:val="000D631C"/>
    <w:rsid w:val="000D70E9"/>
    <w:rsid w:val="000E0FE6"/>
    <w:rsid w:val="000E19CD"/>
    <w:rsid w:val="000E5212"/>
    <w:rsid w:val="000E6C33"/>
    <w:rsid w:val="000F0A55"/>
    <w:rsid w:val="000F0DEA"/>
    <w:rsid w:val="000F17EA"/>
    <w:rsid w:val="000F34F6"/>
    <w:rsid w:val="000F3F4C"/>
    <w:rsid w:val="000F5EF1"/>
    <w:rsid w:val="0010585B"/>
    <w:rsid w:val="0010770D"/>
    <w:rsid w:val="00113858"/>
    <w:rsid w:val="00114B13"/>
    <w:rsid w:val="001214F0"/>
    <w:rsid w:val="001218CE"/>
    <w:rsid w:val="00124E49"/>
    <w:rsid w:val="00126794"/>
    <w:rsid w:val="00126D12"/>
    <w:rsid w:val="00140B35"/>
    <w:rsid w:val="00143C63"/>
    <w:rsid w:val="001478F5"/>
    <w:rsid w:val="00147EC4"/>
    <w:rsid w:val="00150E8C"/>
    <w:rsid w:val="00152E28"/>
    <w:rsid w:val="00154857"/>
    <w:rsid w:val="001549B8"/>
    <w:rsid w:val="00156288"/>
    <w:rsid w:val="0015752E"/>
    <w:rsid w:val="001645ED"/>
    <w:rsid w:val="00165AE7"/>
    <w:rsid w:val="001660FA"/>
    <w:rsid w:val="00166CD2"/>
    <w:rsid w:val="00166F39"/>
    <w:rsid w:val="00170ADA"/>
    <w:rsid w:val="00172B5F"/>
    <w:rsid w:val="00173C3D"/>
    <w:rsid w:val="001775FD"/>
    <w:rsid w:val="00181925"/>
    <w:rsid w:val="00183098"/>
    <w:rsid w:val="00184189"/>
    <w:rsid w:val="0019250E"/>
    <w:rsid w:val="00192CD9"/>
    <w:rsid w:val="001930D7"/>
    <w:rsid w:val="00195526"/>
    <w:rsid w:val="001A068D"/>
    <w:rsid w:val="001A0F5F"/>
    <w:rsid w:val="001A18B9"/>
    <w:rsid w:val="001A2492"/>
    <w:rsid w:val="001B2385"/>
    <w:rsid w:val="001B4F6A"/>
    <w:rsid w:val="001B53A5"/>
    <w:rsid w:val="001B595B"/>
    <w:rsid w:val="001C0218"/>
    <w:rsid w:val="001C034B"/>
    <w:rsid w:val="001C1778"/>
    <w:rsid w:val="001C26B3"/>
    <w:rsid w:val="001C37CE"/>
    <w:rsid w:val="001C38F8"/>
    <w:rsid w:val="001C3AE8"/>
    <w:rsid w:val="001C6DA6"/>
    <w:rsid w:val="001D3D8A"/>
    <w:rsid w:val="001D69B7"/>
    <w:rsid w:val="001E2E4F"/>
    <w:rsid w:val="001E416F"/>
    <w:rsid w:val="001E46F5"/>
    <w:rsid w:val="001E4A38"/>
    <w:rsid w:val="001E5C7F"/>
    <w:rsid w:val="001F1BA0"/>
    <w:rsid w:val="001F1D88"/>
    <w:rsid w:val="001F3354"/>
    <w:rsid w:val="001F4096"/>
    <w:rsid w:val="001F6C62"/>
    <w:rsid w:val="001F7017"/>
    <w:rsid w:val="002007E7"/>
    <w:rsid w:val="00201094"/>
    <w:rsid w:val="00211607"/>
    <w:rsid w:val="00214148"/>
    <w:rsid w:val="00220E92"/>
    <w:rsid w:val="00221229"/>
    <w:rsid w:val="0022338A"/>
    <w:rsid w:val="00223928"/>
    <w:rsid w:val="00223E04"/>
    <w:rsid w:val="00223F11"/>
    <w:rsid w:val="00226E91"/>
    <w:rsid w:val="0022780C"/>
    <w:rsid w:val="00232B56"/>
    <w:rsid w:val="0023352A"/>
    <w:rsid w:val="00233644"/>
    <w:rsid w:val="00233A38"/>
    <w:rsid w:val="00246E8E"/>
    <w:rsid w:val="00251BFF"/>
    <w:rsid w:val="002564F0"/>
    <w:rsid w:val="00256501"/>
    <w:rsid w:val="00257D05"/>
    <w:rsid w:val="00260F9A"/>
    <w:rsid w:val="00262450"/>
    <w:rsid w:val="00262AEA"/>
    <w:rsid w:val="0026422F"/>
    <w:rsid w:val="002644CB"/>
    <w:rsid w:val="0026461D"/>
    <w:rsid w:val="00265C4C"/>
    <w:rsid w:val="00266110"/>
    <w:rsid w:val="002677B3"/>
    <w:rsid w:val="00267F53"/>
    <w:rsid w:val="00271E93"/>
    <w:rsid w:val="0027335F"/>
    <w:rsid w:val="00274684"/>
    <w:rsid w:val="00274FBF"/>
    <w:rsid w:val="00275836"/>
    <w:rsid w:val="0027646C"/>
    <w:rsid w:val="00276BC2"/>
    <w:rsid w:val="00281C02"/>
    <w:rsid w:val="00283F3D"/>
    <w:rsid w:val="002840E5"/>
    <w:rsid w:val="00286272"/>
    <w:rsid w:val="00286473"/>
    <w:rsid w:val="00287C2C"/>
    <w:rsid w:val="00290DA3"/>
    <w:rsid w:val="002916EE"/>
    <w:rsid w:val="002932B7"/>
    <w:rsid w:val="00295A2F"/>
    <w:rsid w:val="0029622C"/>
    <w:rsid w:val="002A0B3B"/>
    <w:rsid w:val="002A22F9"/>
    <w:rsid w:val="002A4128"/>
    <w:rsid w:val="002A5D02"/>
    <w:rsid w:val="002A6F1B"/>
    <w:rsid w:val="002B17C0"/>
    <w:rsid w:val="002B26C7"/>
    <w:rsid w:val="002B4367"/>
    <w:rsid w:val="002B4B36"/>
    <w:rsid w:val="002B4E98"/>
    <w:rsid w:val="002B56CE"/>
    <w:rsid w:val="002B643D"/>
    <w:rsid w:val="002B6ECD"/>
    <w:rsid w:val="002C24B4"/>
    <w:rsid w:val="002C32BC"/>
    <w:rsid w:val="002C47A5"/>
    <w:rsid w:val="002C5B84"/>
    <w:rsid w:val="002C5CEB"/>
    <w:rsid w:val="002C793D"/>
    <w:rsid w:val="002D04EA"/>
    <w:rsid w:val="002D4A80"/>
    <w:rsid w:val="002D7683"/>
    <w:rsid w:val="002F1038"/>
    <w:rsid w:val="002F24BA"/>
    <w:rsid w:val="002F267B"/>
    <w:rsid w:val="002F3C26"/>
    <w:rsid w:val="002F530C"/>
    <w:rsid w:val="003002FE"/>
    <w:rsid w:val="00303F03"/>
    <w:rsid w:val="00303FF7"/>
    <w:rsid w:val="0031003D"/>
    <w:rsid w:val="00314F96"/>
    <w:rsid w:val="003160F4"/>
    <w:rsid w:val="00320BF8"/>
    <w:rsid w:val="00320D2D"/>
    <w:rsid w:val="00321839"/>
    <w:rsid w:val="00321B6E"/>
    <w:rsid w:val="0032291F"/>
    <w:rsid w:val="003262C1"/>
    <w:rsid w:val="003307C6"/>
    <w:rsid w:val="003318EA"/>
    <w:rsid w:val="003321CF"/>
    <w:rsid w:val="00332BF4"/>
    <w:rsid w:val="00332ECC"/>
    <w:rsid w:val="00333DE1"/>
    <w:rsid w:val="00341DFC"/>
    <w:rsid w:val="003437FC"/>
    <w:rsid w:val="0034453B"/>
    <w:rsid w:val="00345E46"/>
    <w:rsid w:val="00346D74"/>
    <w:rsid w:val="00347141"/>
    <w:rsid w:val="00347D57"/>
    <w:rsid w:val="00352346"/>
    <w:rsid w:val="003524DF"/>
    <w:rsid w:val="00352844"/>
    <w:rsid w:val="00356BB3"/>
    <w:rsid w:val="00361D92"/>
    <w:rsid w:val="00363999"/>
    <w:rsid w:val="00363B5A"/>
    <w:rsid w:val="003647B9"/>
    <w:rsid w:val="00367350"/>
    <w:rsid w:val="0037231D"/>
    <w:rsid w:val="00373184"/>
    <w:rsid w:val="00373585"/>
    <w:rsid w:val="0037460D"/>
    <w:rsid w:val="0038032C"/>
    <w:rsid w:val="00380B09"/>
    <w:rsid w:val="00380E6E"/>
    <w:rsid w:val="00383D63"/>
    <w:rsid w:val="003848C6"/>
    <w:rsid w:val="0038701D"/>
    <w:rsid w:val="00391C32"/>
    <w:rsid w:val="00393109"/>
    <w:rsid w:val="003977B0"/>
    <w:rsid w:val="003A18F3"/>
    <w:rsid w:val="003A247D"/>
    <w:rsid w:val="003A7A3E"/>
    <w:rsid w:val="003B0C3B"/>
    <w:rsid w:val="003B33B9"/>
    <w:rsid w:val="003B3FC5"/>
    <w:rsid w:val="003B465A"/>
    <w:rsid w:val="003B603E"/>
    <w:rsid w:val="003B7B86"/>
    <w:rsid w:val="003C1B8C"/>
    <w:rsid w:val="003D00DA"/>
    <w:rsid w:val="003D0494"/>
    <w:rsid w:val="003D35A8"/>
    <w:rsid w:val="003D594F"/>
    <w:rsid w:val="003E5359"/>
    <w:rsid w:val="003E661C"/>
    <w:rsid w:val="003F13A5"/>
    <w:rsid w:val="003F1F6A"/>
    <w:rsid w:val="003F782D"/>
    <w:rsid w:val="00403B84"/>
    <w:rsid w:val="0040421F"/>
    <w:rsid w:val="00405361"/>
    <w:rsid w:val="00412625"/>
    <w:rsid w:val="00413521"/>
    <w:rsid w:val="00421564"/>
    <w:rsid w:val="00422252"/>
    <w:rsid w:val="00424479"/>
    <w:rsid w:val="00424E69"/>
    <w:rsid w:val="0042627B"/>
    <w:rsid w:val="00434873"/>
    <w:rsid w:val="00436C80"/>
    <w:rsid w:val="00440011"/>
    <w:rsid w:val="0044045F"/>
    <w:rsid w:val="004438C0"/>
    <w:rsid w:val="004502E6"/>
    <w:rsid w:val="004510B1"/>
    <w:rsid w:val="00453276"/>
    <w:rsid w:val="00457E6A"/>
    <w:rsid w:val="00461CDE"/>
    <w:rsid w:val="004657B5"/>
    <w:rsid w:val="00471432"/>
    <w:rsid w:val="004719D7"/>
    <w:rsid w:val="0047652F"/>
    <w:rsid w:val="004805A7"/>
    <w:rsid w:val="00481466"/>
    <w:rsid w:val="00483A00"/>
    <w:rsid w:val="00483B3A"/>
    <w:rsid w:val="00487AA0"/>
    <w:rsid w:val="00492385"/>
    <w:rsid w:val="0049356C"/>
    <w:rsid w:val="00493873"/>
    <w:rsid w:val="004948C5"/>
    <w:rsid w:val="00496AC7"/>
    <w:rsid w:val="004A0CCB"/>
    <w:rsid w:val="004A1C60"/>
    <w:rsid w:val="004A2696"/>
    <w:rsid w:val="004A6502"/>
    <w:rsid w:val="004B1395"/>
    <w:rsid w:val="004B32E7"/>
    <w:rsid w:val="004B3EA8"/>
    <w:rsid w:val="004B441F"/>
    <w:rsid w:val="004B4B10"/>
    <w:rsid w:val="004B5D52"/>
    <w:rsid w:val="004B716B"/>
    <w:rsid w:val="004B785D"/>
    <w:rsid w:val="004B78B6"/>
    <w:rsid w:val="004C20A3"/>
    <w:rsid w:val="004C3CA8"/>
    <w:rsid w:val="004C56B4"/>
    <w:rsid w:val="004C5D38"/>
    <w:rsid w:val="004D43AC"/>
    <w:rsid w:val="004D57E5"/>
    <w:rsid w:val="004E05DF"/>
    <w:rsid w:val="004E0DBC"/>
    <w:rsid w:val="004E1B5C"/>
    <w:rsid w:val="004E4609"/>
    <w:rsid w:val="004E480B"/>
    <w:rsid w:val="004E4A10"/>
    <w:rsid w:val="004E4A66"/>
    <w:rsid w:val="004E4B10"/>
    <w:rsid w:val="004E4B57"/>
    <w:rsid w:val="004E5BB1"/>
    <w:rsid w:val="004F63E4"/>
    <w:rsid w:val="0050422B"/>
    <w:rsid w:val="0050591B"/>
    <w:rsid w:val="00507467"/>
    <w:rsid w:val="00511166"/>
    <w:rsid w:val="00516E7B"/>
    <w:rsid w:val="00523403"/>
    <w:rsid w:val="00533B65"/>
    <w:rsid w:val="00534DFF"/>
    <w:rsid w:val="00544620"/>
    <w:rsid w:val="00551A4B"/>
    <w:rsid w:val="00552611"/>
    <w:rsid w:val="00552A13"/>
    <w:rsid w:val="00554C75"/>
    <w:rsid w:val="00556BE2"/>
    <w:rsid w:val="00556CF2"/>
    <w:rsid w:val="00560443"/>
    <w:rsid w:val="00560E73"/>
    <w:rsid w:val="00564AEE"/>
    <w:rsid w:val="00567814"/>
    <w:rsid w:val="00570B45"/>
    <w:rsid w:val="00573F62"/>
    <w:rsid w:val="00576E43"/>
    <w:rsid w:val="00581A40"/>
    <w:rsid w:val="00583853"/>
    <w:rsid w:val="0058665E"/>
    <w:rsid w:val="00587D82"/>
    <w:rsid w:val="00593BFB"/>
    <w:rsid w:val="005A1E01"/>
    <w:rsid w:val="005A32B9"/>
    <w:rsid w:val="005A4E0C"/>
    <w:rsid w:val="005A6E4E"/>
    <w:rsid w:val="005B05E5"/>
    <w:rsid w:val="005B1CB0"/>
    <w:rsid w:val="005B46C8"/>
    <w:rsid w:val="005B550C"/>
    <w:rsid w:val="005C00F0"/>
    <w:rsid w:val="005C07C8"/>
    <w:rsid w:val="005C0EA0"/>
    <w:rsid w:val="005C25A5"/>
    <w:rsid w:val="005C32C7"/>
    <w:rsid w:val="005C701C"/>
    <w:rsid w:val="005C7BFC"/>
    <w:rsid w:val="005D0A39"/>
    <w:rsid w:val="005D17E0"/>
    <w:rsid w:val="005D2ADF"/>
    <w:rsid w:val="005D4E10"/>
    <w:rsid w:val="005D5A08"/>
    <w:rsid w:val="005D6DD8"/>
    <w:rsid w:val="005D7D58"/>
    <w:rsid w:val="005E0306"/>
    <w:rsid w:val="005E08CF"/>
    <w:rsid w:val="005E1A28"/>
    <w:rsid w:val="005E3D3D"/>
    <w:rsid w:val="005E43AB"/>
    <w:rsid w:val="005F27E5"/>
    <w:rsid w:val="005F3FFE"/>
    <w:rsid w:val="005F425E"/>
    <w:rsid w:val="005F4720"/>
    <w:rsid w:val="005F5044"/>
    <w:rsid w:val="005F714B"/>
    <w:rsid w:val="00600155"/>
    <w:rsid w:val="006035DF"/>
    <w:rsid w:val="00603EAE"/>
    <w:rsid w:val="0060400F"/>
    <w:rsid w:val="0060482D"/>
    <w:rsid w:val="00605237"/>
    <w:rsid w:val="00605E6C"/>
    <w:rsid w:val="0060609D"/>
    <w:rsid w:val="0060633D"/>
    <w:rsid w:val="0060634A"/>
    <w:rsid w:val="006072DF"/>
    <w:rsid w:val="00610BF7"/>
    <w:rsid w:val="006116D8"/>
    <w:rsid w:val="00615DD2"/>
    <w:rsid w:val="00617D2F"/>
    <w:rsid w:val="00620CEB"/>
    <w:rsid w:val="006259B0"/>
    <w:rsid w:val="00626A0B"/>
    <w:rsid w:val="0063392A"/>
    <w:rsid w:val="0063532E"/>
    <w:rsid w:val="006445F7"/>
    <w:rsid w:val="006457B3"/>
    <w:rsid w:val="0065404F"/>
    <w:rsid w:val="00655B56"/>
    <w:rsid w:val="006611E7"/>
    <w:rsid w:val="006639F5"/>
    <w:rsid w:val="00663B51"/>
    <w:rsid w:val="006669E1"/>
    <w:rsid w:val="00666CCB"/>
    <w:rsid w:val="00667CD3"/>
    <w:rsid w:val="00672AB8"/>
    <w:rsid w:val="00676860"/>
    <w:rsid w:val="00677F4D"/>
    <w:rsid w:val="00680679"/>
    <w:rsid w:val="00681FAD"/>
    <w:rsid w:val="006840E1"/>
    <w:rsid w:val="00690A79"/>
    <w:rsid w:val="00691833"/>
    <w:rsid w:val="00693E06"/>
    <w:rsid w:val="00695323"/>
    <w:rsid w:val="00695A5C"/>
    <w:rsid w:val="006A1B0C"/>
    <w:rsid w:val="006A548B"/>
    <w:rsid w:val="006A6523"/>
    <w:rsid w:val="006A6B56"/>
    <w:rsid w:val="006B1200"/>
    <w:rsid w:val="006B23B6"/>
    <w:rsid w:val="006B31F5"/>
    <w:rsid w:val="006B408D"/>
    <w:rsid w:val="006B4CDF"/>
    <w:rsid w:val="006B775B"/>
    <w:rsid w:val="006C0571"/>
    <w:rsid w:val="006C4067"/>
    <w:rsid w:val="006C4EBF"/>
    <w:rsid w:val="006C6039"/>
    <w:rsid w:val="006C6CE9"/>
    <w:rsid w:val="006C7BAE"/>
    <w:rsid w:val="006D1795"/>
    <w:rsid w:val="006D53F5"/>
    <w:rsid w:val="006D54D1"/>
    <w:rsid w:val="006D6221"/>
    <w:rsid w:val="006D6440"/>
    <w:rsid w:val="006E21E8"/>
    <w:rsid w:val="006E2BB8"/>
    <w:rsid w:val="006E5BF7"/>
    <w:rsid w:val="006E6AD9"/>
    <w:rsid w:val="006E7CE0"/>
    <w:rsid w:val="006F105F"/>
    <w:rsid w:val="006F45CE"/>
    <w:rsid w:val="006F49C8"/>
    <w:rsid w:val="006F6E8C"/>
    <w:rsid w:val="00705591"/>
    <w:rsid w:val="00705EF1"/>
    <w:rsid w:val="00714E27"/>
    <w:rsid w:val="00717161"/>
    <w:rsid w:val="00720366"/>
    <w:rsid w:val="007205E4"/>
    <w:rsid w:val="00720B1E"/>
    <w:rsid w:val="00725401"/>
    <w:rsid w:val="00725C78"/>
    <w:rsid w:val="007277D6"/>
    <w:rsid w:val="007319B0"/>
    <w:rsid w:val="00733B6D"/>
    <w:rsid w:val="007365EA"/>
    <w:rsid w:val="0074074F"/>
    <w:rsid w:val="007418C1"/>
    <w:rsid w:val="00741F24"/>
    <w:rsid w:val="00743918"/>
    <w:rsid w:val="007450BD"/>
    <w:rsid w:val="00750A2F"/>
    <w:rsid w:val="007524AE"/>
    <w:rsid w:val="007537CE"/>
    <w:rsid w:val="00753F64"/>
    <w:rsid w:val="007547B3"/>
    <w:rsid w:val="00755F07"/>
    <w:rsid w:val="007608DB"/>
    <w:rsid w:val="00761101"/>
    <w:rsid w:val="00762300"/>
    <w:rsid w:val="007638F1"/>
    <w:rsid w:val="00765571"/>
    <w:rsid w:val="0076562E"/>
    <w:rsid w:val="00767903"/>
    <w:rsid w:val="00767B8E"/>
    <w:rsid w:val="00767E13"/>
    <w:rsid w:val="0077280F"/>
    <w:rsid w:val="007729B2"/>
    <w:rsid w:val="00774469"/>
    <w:rsid w:val="00776FB8"/>
    <w:rsid w:val="00777BEF"/>
    <w:rsid w:val="0078171A"/>
    <w:rsid w:val="00790DF6"/>
    <w:rsid w:val="00790F67"/>
    <w:rsid w:val="007932A1"/>
    <w:rsid w:val="00793CD6"/>
    <w:rsid w:val="00794128"/>
    <w:rsid w:val="0079439A"/>
    <w:rsid w:val="007946E1"/>
    <w:rsid w:val="00794D56"/>
    <w:rsid w:val="00796390"/>
    <w:rsid w:val="007973E4"/>
    <w:rsid w:val="007A182D"/>
    <w:rsid w:val="007A5D27"/>
    <w:rsid w:val="007B24D6"/>
    <w:rsid w:val="007B3322"/>
    <w:rsid w:val="007B3810"/>
    <w:rsid w:val="007B61BD"/>
    <w:rsid w:val="007C28BB"/>
    <w:rsid w:val="007C2AC5"/>
    <w:rsid w:val="007C31CE"/>
    <w:rsid w:val="007C68DB"/>
    <w:rsid w:val="007C6B84"/>
    <w:rsid w:val="007C7C30"/>
    <w:rsid w:val="007D17E9"/>
    <w:rsid w:val="007D1A9B"/>
    <w:rsid w:val="007D27C0"/>
    <w:rsid w:val="007D2F1C"/>
    <w:rsid w:val="007D309B"/>
    <w:rsid w:val="007D39E2"/>
    <w:rsid w:val="007D45A4"/>
    <w:rsid w:val="007D4D2B"/>
    <w:rsid w:val="007D5236"/>
    <w:rsid w:val="007E01EB"/>
    <w:rsid w:val="007E10A6"/>
    <w:rsid w:val="007E3425"/>
    <w:rsid w:val="007E504D"/>
    <w:rsid w:val="007E604F"/>
    <w:rsid w:val="007E6CA0"/>
    <w:rsid w:val="007E78C3"/>
    <w:rsid w:val="007F02E0"/>
    <w:rsid w:val="007F1ADA"/>
    <w:rsid w:val="007F60AD"/>
    <w:rsid w:val="007F6195"/>
    <w:rsid w:val="008023DD"/>
    <w:rsid w:val="0080434B"/>
    <w:rsid w:val="00810147"/>
    <w:rsid w:val="00812D11"/>
    <w:rsid w:val="00816680"/>
    <w:rsid w:val="00822393"/>
    <w:rsid w:val="008223FB"/>
    <w:rsid w:val="00824E7D"/>
    <w:rsid w:val="00825478"/>
    <w:rsid w:val="008256AD"/>
    <w:rsid w:val="008260B9"/>
    <w:rsid w:val="00830D79"/>
    <w:rsid w:val="00836E7B"/>
    <w:rsid w:val="0084043F"/>
    <w:rsid w:val="008425E6"/>
    <w:rsid w:val="0084501E"/>
    <w:rsid w:val="00845878"/>
    <w:rsid w:val="00850418"/>
    <w:rsid w:val="00850E11"/>
    <w:rsid w:val="008555A9"/>
    <w:rsid w:val="008566AC"/>
    <w:rsid w:val="00860860"/>
    <w:rsid w:val="00863C7D"/>
    <w:rsid w:val="00863FFB"/>
    <w:rsid w:val="00864CD7"/>
    <w:rsid w:val="00864FC7"/>
    <w:rsid w:val="00866D1B"/>
    <w:rsid w:val="00867E14"/>
    <w:rsid w:val="00871239"/>
    <w:rsid w:val="00872251"/>
    <w:rsid w:val="00876861"/>
    <w:rsid w:val="00876DEC"/>
    <w:rsid w:val="00880048"/>
    <w:rsid w:val="0088314C"/>
    <w:rsid w:val="00884583"/>
    <w:rsid w:val="008871AB"/>
    <w:rsid w:val="00887580"/>
    <w:rsid w:val="00895A58"/>
    <w:rsid w:val="008A3569"/>
    <w:rsid w:val="008A3A8C"/>
    <w:rsid w:val="008B3ABF"/>
    <w:rsid w:val="008C00FD"/>
    <w:rsid w:val="008C100A"/>
    <w:rsid w:val="008C4551"/>
    <w:rsid w:val="008C6101"/>
    <w:rsid w:val="008C6B20"/>
    <w:rsid w:val="008D1246"/>
    <w:rsid w:val="008D20CE"/>
    <w:rsid w:val="008D506B"/>
    <w:rsid w:val="008D50FB"/>
    <w:rsid w:val="008D67A9"/>
    <w:rsid w:val="008D721E"/>
    <w:rsid w:val="008D751B"/>
    <w:rsid w:val="008E0650"/>
    <w:rsid w:val="008E0E4B"/>
    <w:rsid w:val="008E201E"/>
    <w:rsid w:val="008E2CBE"/>
    <w:rsid w:val="008E3720"/>
    <w:rsid w:val="008E45AC"/>
    <w:rsid w:val="008E54EC"/>
    <w:rsid w:val="008F0665"/>
    <w:rsid w:val="008F0FAF"/>
    <w:rsid w:val="008F3C44"/>
    <w:rsid w:val="008F5AF5"/>
    <w:rsid w:val="008F683C"/>
    <w:rsid w:val="008F68B0"/>
    <w:rsid w:val="009012B1"/>
    <w:rsid w:val="00902EE8"/>
    <w:rsid w:val="009065FC"/>
    <w:rsid w:val="00906AB8"/>
    <w:rsid w:val="00906EE6"/>
    <w:rsid w:val="0090737E"/>
    <w:rsid w:val="009122FD"/>
    <w:rsid w:val="009125B1"/>
    <w:rsid w:val="00912F4F"/>
    <w:rsid w:val="00913E4A"/>
    <w:rsid w:val="00915064"/>
    <w:rsid w:val="00916D4B"/>
    <w:rsid w:val="0092057B"/>
    <w:rsid w:val="009206E8"/>
    <w:rsid w:val="00922580"/>
    <w:rsid w:val="00923F44"/>
    <w:rsid w:val="0093381D"/>
    <w:rsid w:val="00934FF4"/>
    <w:rsid w:val="00935B58"/>
    <w:rsid w:val="0094181C"/>
    <w:rsid w:val="00941A76"/>
    <w:rsid w:val="00941C5C"/>
    <w:rsid w:val="0094794F"/>
    <w:rsid w:val="00950306"/>
    <w:rsid w:val="00951054"/>
    <w:rsid w:val="00951607"/>
    <w:rsid w:val="00952F18"/>
    <w:rsid w:val="00953C88"/>
    <w:rsid w:val="0095462D"/>
    <w:rsid w:val="0096117E"/>
    <w:rsid w:val="00961F20"/>
    <w:rsid w:val="00965DB5"/>
    <w:rsid w:val="009662EF"/>
    <w:rsid w:val="00971C9A"/>
    <w:rsid w:val="00973F7C"/>
    <w:rsid w:val="009742D3"/>
    <w:rsid w:val="0098086C"/>
    <w:rsid w:val="009830E0"/>
    <w:rsid w:val="0098525D"/>
    <w:rsid w:val="009868F3"/>
    <w:rsid w:val="00986AF7"/>
    <w:rsid w:val="0098717E"/>
    <w:rsid w:val="00987475"/>
    <w:rsid w:val="009962E7"/>
    <w:rsid w:val="009A098F"/>
    <w:rsid w:val="009A160E"/>
    <w:rsid w:val="009A3774"/>
    <w:rsid w:val="009A4279"/>
    <w:rsid w:val="009A46E8"/>
    <w:rsid w:val="009A59CE"/>
    <w:rsid w:val="009A7C2C"/>
    <w:rsid w:val="009B03E6"/>
    <w:rsid w:val="009B048F"/>
    <w:rsid w:val="009B6945"/>
    <w:rsid w:val="009C0117"/>
    <w:rsid w:val="009C5E43"/>
    <w:rsid w:val="009C60DD"/>
    <w:rsid w:val="009C77ED"/>
    <w:rsid w:val="009D4270"/>
    <w:rsid w:val="009D6B41"/>
    <w:rsid w:val="009E0188"/>
    <w:rsid w:val="009E15A6"/>
    <w:rsid w:val="009E4CD1"/>
    <w:rsid w:val="009E71DE"/>
    <w:rsid w:val="009F12CB"/>
    <w:rsid w:val="009F2764"/>
    <w:rsid w:val="009F66C4"/>
    <w:rsid w:val="009F6B84"/>
    <w:rsid w:val="009F7448"/>
    <w:rsid w:val="009F7CDF"/>
    <w:rsid w:val="00A0226E"/>
    <w:rsid w:val="00A0260E"/>
    <w:rsid w:val="00A03E5D"/>
    <w:rsid w:val="00A1004D"/>
    <w:rsid w:val="00A10828"/>
    <w:rsid w:val="00A10969"/>
    <w:rsid w:val="00A1142D"/>
    <w:rsid w:val="00A115FB"/>
    <w:rsid w:val="00A11F36"/>
    <w:rsid w:val="00A1398A"/>
    <w:rsid w:val="00A17A13"/>
    <w:rsid w:val="00A219FA"/>
    <w:rsid w:val="00A222F7"/>
    <w:rsid w:val="00A2274B"/>
    <w:rsid w:val="00A22F96"/>
    <w:rsid w:val="00A232A0"/>
    <w:rsid w:val="00A247FB"/>
    <w:rsid w:val="00A27C2B"/>
    <w:rsid w:val="00A30DEA"/>
    <w:rsid w:val="00A32EEE"/>
    <w:rsid w:val="00A34DDA"/>
    <w:rsid w:val="00A36387"/>
    <w:rsid w:val="00A36D4D"/>
    <w:rsid w:val="00A3748D"/>
    <w:rsid w:val="00A37B8C"/>
    <w:rsid w:val="00A4075B"/>
    <w:rsid w:val="00A41235"/>
    <w:rsid w:val="00A45B5B"/>
    <w:rsid w:val="00A516B6"/>
    <w:rsid w:val="00A53D52"/>
    <w:rsid w:val="00A53E09"/>
    <w:rsid w:val="00A54F98"/>
    <w:rsid w:val="00A553B1"/>
    <w:rsid w:val="00A60719"/>
    <w:rsid w:val="00A61CAD"/>
    <w:rsid w:val="00A63B38"/>
    <w:rsid w:val="00A679B5"/>
    <w:rsid w:val="00A7119E"/>
    <w:rsid w:val="00A716F8"/>
    <w:rsid w:val="00A719A8"/>
    <w:rsid w:val="00A71E8D"/>
    <w:rsid w:val="00A72F3C"/>
    <w:rsid w:val="00A769F4"/>
    <w:rsid w:val="00A80B11"/>
    <w:rsid w:val="00A82AB2"/>
    <w:rsid w:val="00A83BC0"/>
    <w:rsid w:val="00A852A5"/>
    <w:rsid w:val="00A87035"/>
    <w:rsid w:val="00A8726E"/>
    <w:rsid w:val="00A901AE"/>
    <w:rsid w:val="00A90B4C"/>
    <w:rsid w:val="00A91787"/>
    <w:rsid w:val="00A91F13"/>
    <w:rsid w:val="00A927A2"/>
    <w:rsid w:val="00A9317D"/>
    <w:rsid w:val="00AA281A"/>
    <w:rsid w:val="00AA444F"/>
    <w:rsid w:val="00AA5996"/>
    <w:rsid w:val="00AB0078"/>
    <w:rsid w:val="00AB143B"/>
    <w:rsid w:val="00AB50EC"/>
    <w:rsid w:val="00AB6048"/>
    <w:rsid w:val="00AB7A37"/>
    <w:rsid w:val="00AC3E61"/>
    <w:rsid w:val="00AC4090"/>
    <w:rsid w:val="00AC65D8"/>
    <w:rsid w:val="00AD15A1"/>
    <w:rsid w:val="00AD1CEF"/>
    <w:rsid w:val="00AD614C"/>
    <w:rsid w:val="00AD7158"/>
    <w:rsid w:val="00AE064A"/>
    <w:rsid w:val="00AE0B9D"/>
    <w:rsid w:val="00AE2542"/>
    <w:rsid w:val="00AE2DA1"/>
    <w:rsid w:val="00AE3D1F"/>
    <w:rsid w:val="00AE3D4A"/>
    <w:rsid w:val="00AE5692"/>
    <w:rsid w:val="00AF008F"/>
    <w:rsid w:val="00AF2D2C"/>
    <w:rsid w:val="00AF339D"/>
    <w:rsid w:val="00AF5EAB"/>
    <w:rsid w:val="00AF651A"/>
    <w:rsid w:val="00AF7BC2"/>
    <w:rsid w:val="00AF7D97"/>
    <w:rsid w:val="00B00A00"/>
    <w:rsid w:val="00B01571"/>
    <w:rsid w:val="00B045E9"/>
    <w:rsid w:val="00B04E71"/>
    <w:rsid w:val="00B04EEE"/>
    <w:rsid w:val="00B06FF6"/>
    <w:rsid w:val="00B116BD"/>
    <w:rsid w:val="00B11A99"/>
    <w:rsid w:val="00B30833"/>
    <w:rsid w:val="00B41229"/>
    <w:rsid w:val="00B51D77"/>
    <w:rsid w:val="00B53478"/>
    <w:rsid w:val="00B54302"/>
    <w:rsid w:val="00B55196"/>
    <w:rsid w:val="00B55DBB"/>
    <w:rsid w:val="00B56B20"/>
    <w:rsid w:val="00B5712A"/>
    <w:rsid w:val="00B60FAE"/>
    <w:rsid w:val="00B63594"/>
    <w:rsid w:val="00B63BCD"/>
    <w:rsid w:val="00B753A8"/>
    <w:rsid w:val="00B756A0"/>
    <w:rsid w:val="00B77724"/>
    <w:rsid w:val="00B81445"/>
    <w:rsid w:val="00B81FE0"/>
    <w:rsid w:val="00B8488C"/>
    <w:rsid w:val="00B8751C"/>
    <w:rsid w:val="00B9350E"/>
    <w:rsid w:val="00B9613D"/>
    <w:rsid w:val="00B96AA2"/>
    <w:rsid w:val="00BA4AE6"/>
    <w:rsid w:val="00BB1968"/>
    <w:rsid w:val="00BB1B66"/>
    <w:rsid w:val="00BB21FF"/>
    <w:rsid w:val="00BB2C9A"/>
    <w:rsid w:val="00BB3414"/>
    <w:rsid w:val="00BB5003"/>
    <w:rsid w:val="00BC1569"/>
    <w:rsid w:val="00BC1573"/>
    <w:rsid w:val="00BC1918"/>
    <w:rsid w:val="00BC278F"/>
    <w:rsid w:val="00BC376B"/>
    <w:rsid w:val="00BC4651"/>
    <w:rsid w:val="00BC5834"/>
    <w:rsid w:val="00BC684E"/>
    <w:rsid w:val="00BC6C16"/>
    <w:rsid w:val="00BD1D1A"/>
    <w:rsid w:val="00BD22DF"/>
    <w:rsid w:val="00BD60F7"/>
    <w:rsid w:val="00BD6145"/>
    <w:rsid w:val="00BD73B8"/>
    <w:rsid w:val="00BD7C6E"/>
    <w:rsid w:val="00BD7D61"/>
    <w:rsid w:val="00BE1590"/>
    <w:rsid w:val="00BE209F"/>
    <w:rsid w:val="00BE23F9"/>
    <w:rsid w:val="00BE30F3"/>
    <w:rsid w:val="00BE603F"/>
    <w:rsid w:val="00BE69D8"/>
    <w:rsid w:val="00BF25DD"/>
    <w:rsid w:val="00BF40C2"/>
    <w:rsid w:val="00BF49FE"/>
    <w:rsid w:val="00C01D86"/>
    <w:rsid w:val="00C022E2"/>
    <w:rsid w:val="00C0641C"/>
    <w:rsid w:val="00C10B2A"/>
    <w:rsid w:val="00C113D5"/>
    <w:rsid w:val="00C127A5"/>
    <w:rsid w:val="00C139D7"/>
    <w:rsid w:val="00C15886"/>
    <w:rsid w:val="00C15994"/>
    <w:rsid w:val="00C15CCD"/>
    <w:rsid w:val="00C2157E"/>
    <w:rsid w:val="00C22DF3"/>
    <w:rsid w:val="00C2451C"/>
    <w:rsid w:val="00C2550B"/>
    <w:rsid w:val="00C26D63"/>
    <w:rsid w:val="00C27D76"/>
    <w:rsid w:val="00C313CF"/>
    <w:rsid w:val="00C31623"/>
    <w:rsid w:val="00C31B96"/>
    <w:rsid w:val="00C37BB5"/>
    <w:rsid w:val="00C401D0"/>
    <w:rsid w:val="00C4392E"/>
    <w:rsid w:val="00C43B4C"/>
    <w:rsid w:val="00C44851"/>
    <w:rsid w:val="00C45DF3"/>
    <w:rsid w:val="00C47CF4"/>
    <w:rsid w:val="00C50E39"/>
    <w:rsid w:val="00C52D57"/>
    <w:rsid w:val="00C539AE"/>
    <w:rsid w:val="00C57758"/>
    <w:rsid w:val="00C60C20"/>
    <w:rsid w:val="00C628A6"/>
    <w:rsid w:val="00C64CA0"/>
    <w:rsid w:val="00C64D9B"/>
    <w:rsid w:val="00C67B3B"/>
    <w:rsid w:val="00C67BC2"/>
    <w:rsid w:val="00C70FA9"/>
    <w:rsid w:val="00C726BD"/>
    <w:rsid w:val="00C75699"/>
    <w:rsid w:val="00C823D2"/>
    <w:rsid w:val="00C91B85"/>
    <w:rsid w:val="00C92660"/>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B34"/>
    <w:rsid w:val="00CC2C94"/>
    <w:rsid w:val="00CC7A88"/>
    <w:rsid w:val="00CD0B05"/>
    <w:rsid w:val="00CD0B4C"/>
    <w:rsid w:val="00CD10FF"/>
    <w:rsid w:val="00CD19E2"/>
    <w:rsid w:val="00CD2586"/>
    <w:rsid w:val="00CD60D5"/>
    <w:rsid w:val="00CD6746"/>
    <w:rsid w:val="00CE1B17"/>
    <w:rsid w:val="00CE7B0E"/>
    <w:rsid w:val="00CF1ACA"/>
    <w:rsid w:val="00CF7FD5"/>
    <w:rsid w:val="00D01C91"/>
    <w:rsid w:val="00D04D3F"/>
    <w:rsid w:val="00D05A0A"/>
    <w:rsid w:val="00D06392"/>
    <w:rsid w:val="00D077DC"/>
    <w:rsid w:val="00D07D63"/>
    <w:rsid w:val="00D12492"/>
    <w:rsid w:val="00D13542"/>
    <w:rsid w:val="00D15499"/>
    <w:rsid w:val="00D2070F"/>
    <w:rsid w:val="00D226EA"/>
    <w:rsid w:val="00D26ECF"/>
    <w:rsid w:val="00D26FA3"/>
    <w:rsid w:val="00D3274E"/>
    <w:rsid w:val="00D353E9"/>
    <w:rsid w:val="00D37451"/>
    <w:rsid w:val="00D42355"/>
    <w:rsid w:val="00D43F7B"/>
    <w:rsid w:val="00D46BE1"/>
    <w:rsid w:val="00D54483"/>
    <w:rsid w:val="00D64E74"/>
    <w:rsid w:val="00D6625D"/>
    <w:rsid w:val="00D7108F"/>
    <w:rsid w:val="00D7181A"/>
    <w:rsid w:val="00D71E8D"/>
    <w:rsid w:val="00D73296"/>
    <w:rsid w:val="00D807CE"/>
    <w:rsid w:val="00D80A75"/>
    <w:rsid w:val="00D825A5"/>
    <w:rsid w:val="00D8783A"/>
    <w:rsid w:val="00D87861"/>
    <w:rsid w:val="00D916A4"/>
    <w:rsid w:val="00D91DCB"/>
    <w:rsid w:val="00D963F8"/>
    <w:rsid w:val="00D970B0"/>
    <w:rsid w:val="00DA1381"/>
    <w:rsid w:val="00DA1B39"/>
    <w:rsid w:val="00DA377A"/>
    <w:rsid w:val="00DA3C9C"/>
    <w:rsid w:val="00DA3F7A"/>
    <w:rsid w:val="00DB30C3"/>
    <w:rsid w:val="00DB4033"/>
    <w:rsid w:val="00DB58C8"/>
    <w:rsid w:val="00DC13D4"/>
    <w:rsid w:val="00DC31D4"/>
    <w:rsid w:val="00DC3B0F"/>
    <w:rsid w:val="00DC495E"/>
    <w:rsid w:val="00DC6979"/>
    <w:rsid w:val="00DC79DA"/>
    <w:rsid w:val="00DD02F9"/>
    <w:rsid w:val="00DD24F3"/>
    <w:rsid w:val="00DD403E"/>
    <w:rsid w:val="00DD5584"/>
    <w:rsid w:val="00DD6ECF"/>
    <w:rsid w:val="00DD7AA6"/>
    <w:rsid w:val="00DE230A"/>
    <w:rsid w:val="00DF0311"/>
    <w:rsid w:val="00DF2BE6"/>
    <w:rsid w:val="00DF47D9"/>
    <w:rsid w:val="00DF4899"/>
    <w:rsid w:val="00DF4C30"/>
    <w:rsid w:val="00DF6BDD"/>
    <w:rsid w:val="00E0099C"/>
    <w:rsid w:val="00E00BE9"/>
    <w:rsid w:val="00E031A0"/>
    <w:rsid w:val="00E03591"/>
    <w:rsid w:val="00E043AB"/>
    <w:rsid w:val="00E05DA3"/>
    <w:rsid w:val="00E10E28"/>
    <w:rsid w:val="00E11D1E"/>
    <w:rsid w:val="00E1799B"/>
    <w:rsid w:val="00E22EB9"/>
    <w:rsid w:val="00E231AB"/>
    <w:rsid w:val="00E23290"/>
    <w:rsid w:val="00E23A3B"/>
    <w:rsid w:val="00E24C14"/>
    <w:rsid w:val="00E25688"/>
    <w:rsid w:val="00E25DB7"/>
    <w:rsid w:val="00E2631E"/>
    <w:rsid w:val="00E278C2"/>
    <w:rsid w:val="00E30BC6"/>
    <w:rsid w:val="00E31C5D"/>
    <w:rsid w:val="00E340F8"/>
    <w:rsid w:val="00E3646C"/>
    <w:rsid w:val="00E369BD"/>
    <w:rsid w:val="00E41982"/>
    <w:rsid w:val="00E439D8"/>
    <w:rsid w:val="00E466BF"/>
    <w:rsid w:val="00E46DBC"/>
    <w:rsid w:val="00E54245"/>
    <w:rsid w:val="00E550EF"/>
    <w:rsid w:val="00E55C2E"/>
    <w:rsid w:val="00E56467"/>
    <w:rsid w:val="00E6153D"/>
    <w:rsid w:val="00E629CF"/>
    <w:rsid w:val="00E63A82"/>
    <w:rsid w:val="00E65F4A"/>
    <w:rsid w:val="00E71B9E"/>
    <w:rsid w:val="00E71EE6"/>
    <w:rsid w:val="00E73830"/>
    <w:rsid w:val="00E753DE"/>
    <w:rsid w:val="00E75AD7"/>
    <w:rsid w:val="00E81E99"/>
    <w:rsid w:val="00E832C4"/>
    <w:rsid w:val="00E83E95"/>
    <w:rsid w:val="00E85962"/>
    <w:rsid w:val="00E85C25"/>
    <w:rsid w:val="00E91BE1"/>
    <w:rsid w:val="00E920A2"/>
    <w:rsid w:val="00E94522"/>
    <w:rsid w:val="00E957C1"/>
    <w:rsid w:val="00E96551"/>
    <w:rsid w:val="00E97ED3"/>
    <w:rsid w:val="00EA0C0C"/>
    <w:rsid w:val="00EA15CD"/>
    <w:rsid w:val="00EA1882"/>
    <w:rsid w:val="00EA665F"/>
    <w:rsid w:val="00EA79CF"/>
    <w:rsid w:val="00EA7FE4"/>
    <w:rsid w:val="00EB272F"/>
    <w:rsid w:val="00EB5D62"/>
    <w:rsid w:val="00EB5E48"/>
    <w:rsid w:val="00EC054E"/>
    <w:rsid w:val="00EC1CE8"/>
    <w:rsid w:val="00EC22C0"/>
    <w:rsid w:val="00EC49F1"/>
    <w:rsid w:val="00EC54BF"/>
    <w:rsid w:val="00EC5BE6"/>
    <w:rsid w:val="00EC5C03"/>
    <w:rsid w:val="00EC5FB2"/>
    <w:rsid w:val="00ED21F8"/>
    <w:rsid w:val="00ED28A9"/>
    <w:rsid w:val="00ED5551"/>
    <w:rsid w:val="00ED6E3B"/>
    <w:rsid w:val="00ED7727"/>
    <w:rsid w:val="00EE0444"/>
    <w:rsid w:val="00EE06EB"/>
    <w:rsid w:val="00EE0872"/>
    <w:rsid w:val="00EE5246"/>
    <w:rsid w:val="00EF1FAC"/>
    <w:rsid w:val="00EF2848"/>
    <w:rsid w:val="00EF38E0"/>
    <w:rsid w:val="00EF3FDE"/>
    <w:rsid w:val="00EF6DE0"/>
    <w:rsid w:val="00F00714"/>
    <w:rsid w:val="00F02F32"/>
    <w:rsid w:val="00F0325C"/>
    <w:rsid w:val="00F04613"/>
    <w:rsid w:val="00F10C93"/>
    <w:rsid w:val="00F10E73"/>
    <w:rsid w:val="00F10E8D"/>
    <w:rsid w:val="00F11580"/>
    <w:rsid w:val="00F15276"/>
    <w:rsid w:val="00F16BA1"/>
    <w:rsid w:val="00F17625"/>
    <w:rsid w:val="00F1784C"/>
    <w:rsid w:val="00F22253"/>
    <w:rsid w:val="00F23614"/>
    <w:rsid w:val="00F2381F"/>
    <w:rsid w:val="00F23826"/>
    <w:rsid w:val="00F2643F"/>
    <w:rsid w:val="00F270E8"/>
    <w:rsid w:val="00F323B3"/>
    <w:rsid w:val="00F3701C"/>
    <w:rsid w:val="00F414BB"/>
    <w:rsid w:val="00F46035"/>
    <w:rsid w:val="00F51510"/>
    <w:rsid w:val="00F537DE"/>
    <w:rsid w:val="00F5639D"/>
    <w:rsid w:val="00F6151D"/>
    <w:rsid w:val="00F66613"/>
    <w:rsid w:val="00F7177C"/>
    <w:rsid w:val="00F7242D"/>
    <w:rsid w:val="00F762DD"/>
    <w:rsid w:val="00F76C3B"/>
    <w:rsid w:val="00F8038A"/>
    <w:rsid w:val="00F83EA7"/>
    <w:rsid w:val="00F85C8A"/>
    <w:rsid w:val="00F90259"/>
    <w:rsid w:val="00F91642"/>
    <w:rsid w:val="00F92F3E"/>
    <w:rsid w:val="00FA1244"/>
    <w:rsid w:val="00FB467B"/>
    <w:rsid w:val="00FB7B4C"/>
    <w:rsid w:val="00FB7E1D"/>
    <w:rsid w:val="00FC0F13"/>
    <w:rsid w:val="00FC2009"/>
    <w:rsid w:val="00FC56D7"/>
    <w:rsid w:val="00FD0321"/>
    <w:rsid w:val="00FD063C"/>
    <w:rsid w:val="00FD2EFA"/>
    <w:rsid w:val="00FD4203"/>
    <w:rsid w:val="00FD4675"/>
    <w:rsid w:val="00FD5922"/>
    <w:rsid w:val="00FD6725"/>
    <w:rsid w:val="00FD6B1F"/>
    <w:rsid w:val="00FD70FE"/>
    <w:rsid w:val="00FD7B2D"/>
    <w:rsid w:val="00FD7B4B"/>
    <w:rsid w:val="00FE1399"/>
    <w:rsid w:val="00FE3E25"/>
    <w:rsid w:val="00FE3FE4"/>
    <w:rsid w:val="00FE47B7"/>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004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C14"/>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421564"/>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8E45AC"/>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4B4B1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421564"/>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8E45AC"/>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35"/>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E41982"/>
    <w:pPr>
      <w:widowControl w:val="0"/>
      <w:autoSpaceDE w:val="0"/>
      <w:autoSpaceDN w:val="0"/>
      <w:spacing w:after="0" w:line="240" w:lineRule="auto"/>
    </w:pPr>
    <w:rPr>
      <w:rFonts w:ascii="Times New Roman" w:eastAsia="Times New Roman" w:hAnsi="Times New Roman" w:cs="Times New Roman"/>
      <w:lang w:val="en-AU" w:eastAsia="en-AU" w:bidi="en-AU"/>
    </w:rPr>
  </w:style>
  <w:style w:type="character" w:customStyle="1" w:styleId="UnresolvedMention1">
    <w:name w:val="Unresolved Mention1"/>
    <w:basedOn w:val="DefaultParagraphFont"/>
    <w:uiPriority w:val="99"/>
    <w:semiHidden/>
    <w:unhideWhenUsed/>
    <w:rsid w:val="00AB0078"/>
    <w:rPr>
      <w:color w:val="605E5C"/>
      <w:shd w:val="clear" w:color="auto" w:fill="E1DFDD"/>
    </w:rPr>
  </w:style>
  <w:style w:type="character" w:styleId="FollowedHyperlink">
    <w:name w:val="FollowedHyperlink"/>
    <w:basedOn w:val="DefaultParagraphFont"/>
    <w:uiPriority w:val="99"/>
    <w:semiHidden/>
    <w:unhideWhenUsed/>
    <w:rsid w:val="000F0DEA"/>
    <w:rPr>
      <w:color w:val="800080" w:themeColor="followedHyperlink"/>
      <w:u w:val="single"/>
    </w:rPr>
  </w:style>
  <w:style w:type="character" w:customStyle="1" w:styleId="UnresolvedMention">
    <w:name w:val="Unresolved Mention"/>
    <w:basedOn w:val="DefaultParagraphFont"/>
    <w:uiPriority w:val="99"/>
    <w:semiHidden/>
    <w:unhideWhenUsed/>
    <w:rsid w:val="00BB1968"/>
    <w:rPr>
      <w:color w:val="605E5C"/>
      <w:shd w:val="clear" w:color="auto" w:fill="E1DFDD"/>
    </w:rPr>
  </w:style>
  <w:style w:type="character" w:customStyle="1" w:styleId="Heading8Char">
    <w:name w:val="Heading 8 Char"/>
    <w:basedOn w:val="DefaultParagraphFont"/>
    <w:link w:val="Heading8"/>
    <w:uiPriority w:val="9"/>
    <w:semiHidden/>
    <w:rsid w:val="004B4B10"/>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C14"/>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421564"/>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8E45AC"/>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4B4B1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421564"/>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8E45AC"/>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35"/>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E41982"/>
    <w:pPr>
      <w:widowControl w:val="0"/>
      <w:autoSpaceDE w:val="0"/>
      <w:autoSpaceDN w:val="0"/>
      <w:spacing w:after="0" w:line="240" w:lineRule="auto"/>
    </w:pPr>
    <w:rPr>
      <w:rFonts w:ascii="Times New Roman" w:eastAsia="Times New Roman" w:hAnsi="Times New Roman" w:cs="Times New Roman"/>
      <w:lang w:val="en-AU" w:eastAsia="en-AU" w:bidi="en-AU"/>
    </w:rPr>
  </w:style>
  <w:style w:type="character" w:customStyle="1" w:styleId="UnresolvedMention1">
    <w:name w:val="Unresolved Mention1"/>
    <w:basedOn w:val="DefaultParagraphFont"/>
    <w:uiPriority w:val="99"/>
    <w:semiHidden/>
    <w:unhideWhenUsed/>
    <w:rsid w:val="00AB0078"/>
    <w:rPr>
      <w:color w:val="605E5C"/>
      <w:shd w:val="clear" w:color="auto" w:fill="E1DFDD"/>
    </w:rPr>
  </w:style>
  <w:style w:type="character" w:styleId="FollowedHyperlink">
    <w:name w:val="FollowedHyperlink"/>
    <w:basedOn w:val="DefaultParagraphFont"/>
    <w:uiPriority w:val="99"/>
    <w:semiHidden/>
    <w:unhideWhenUsed/>
    <w:rsid w:val="000F0DEA"/>
    <w:rPr>
      <w:color w:val="800080" w:themeColor="followedHyperlink"/>
      <w:u w:val="single"/>
    </w:rPr>
  </w:style>
  <w:style w:type="character" w:customStyle="1" w:styleId="UnresolvedMention">
    <w:name w:val="Unresolved Mention"/>
    <w:basedOn w:val="DefaultParagraphFont"/>
    <w:uiPriority w:val="99"/>
    <w:semiHidden/>
    <w:unhideWhenUsed/>
    <w:rsid w:val="00BB1968"/>
    <w:rPr>
      <w:color w:val="605E5C"/>
      <w:shd w:val="clear" w:color="auto" w:fill="E1DFDD"/>
    </w:rPr>
  </w:style>
  <w:style w:type="character" w:customStyle="1" w:styleId="Heading8Char">
    <w:name w:val="Heading 8 Char"/>
    <w:basedOn w:val="DefaultParagraphFont"/>
    <w:link w:val="Heading8"/>
    <w:uiPriority w:val="9"/>
    <w:semiHidden/>
    <w:rsid w:val="004B4B10"/>
    <w:rPr>
      <w:rFonts w:asciiTheme="majorHAnsi" w:eastAsiaTheme="majorEastAsia" w:hAnsiTheme="majorHAnsi" w:cstheme="majorBidi"/>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 w:id="2033142839">
      <w:bodyDiv w:val="1"/>
      <w:marLeft w:val="0"/>
      <w:marRight w:val="0"/>
      <w:marTop w:val="0"/>
      <w:marBottom w:val="0"/>
      <w:divBdr>
        <w:top w:val="none" w:sz="0" w:space="0" w:color="auto"/>
        <w:left w:val="none" w:sz="0" w:space="0" w:color="auto"/>
        <w:bottom w:val="none" w:sz="0" w:space="0" w:color="auto"/>
        <w:right w:val="none" w:sz="0" w:space="0" w:color="auto"/>
      </w:divBdr>
      <w:divsChild>
        <w:div w:id="487793883">
          <w:marLeft w:val="0"/>
          <w:marRight w:val="0"/>
          <w:marTop w:val="0"/>
          <w:marBottom w:val="0"/>
          <w:divBdr>
            <w:top w:val="none" w:sz="0" w:space="0" w:color="auto"/>
            <w:left w:val="none" w:sz="0" w:space="0" w:color="auto"/>
            <w:bottom w:val="none" w:sz="0" w:space="0" w:color="auto"/>
            <w:right w:val="none" w:sz="0" w:space="0" w:color="auto"/>
          </w:divBdr>
          <w:divsChild>
            <w:div w:id="422723215">
              <w:marLeft w:val="0"/>
              <w:marRight w:val="0"/>
              <w:marTop w:val="0"/>
              <w:marBottom w:val="0"/>
              <w:divBdr>
                <w:top w:val="none" w:sz="0" w:space="0" w:color="auto"/>
                <w:left w:val="none" w:sz="0" w:space="0" w:color="auto"/>
                <w:bottom w:val="none" w:sz="0" w:space="0" w:color="auto"/>
                <w:right w:val="none" w:sz="0" w:space="0" w:color="auto"/>
              </w:divBdr>
              <w:divsChild>
                <w:div w:id="9228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qualityassurance.or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ris.wpro.who.int/bitstream/handle/10665.1/13875/WPR-RC068-Res07-2017-fr.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ris.wpro.who.int/bitstream/handle/10665.1/13778/WPR-RC068-09-Medicines-Health-workforce-Ann-2017-fr.pdf"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s://iris.wpro.who.int/bitstream/handle/10665.1/13875/WPR-RC068-Res07-2017-fr.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iris.wpro.who.int/bitstream/handle/10665.1/13778/WPR-RC068-09-Medicines-Health-workforce-Ann-2017-fr.pdf" TargetMode="External"/><Relationship Id="rId14" Type="http://schemas.openxmlformats.org/officeDocument/2006/relationships/hyperlink" Target="https://iris.wpro.who.int/bitstream/handle/10665.1/14160/RS-2018-GE-25-FJI-eng.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EF32BE24-4143-4044-A3FB-D67E8689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8</Pages>
  <Words>2570</Words>
  <Characters>15655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18189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31</cp:revision>
  <cp:lastPrinted>2019-01-23T05:56:00Z</cp:lastPrinted>
  <dcterms:created xsi:type="dcterms:W3CDTF">2019-06-09T11:54:00Z</dcterms:created>
  <dcterms:modified xsi:type="dcterms:W3CDTF">2019-08-01T04:26:00Z</dcterms:modified>
</cp:coreProperties>
</file>